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5305" w:beforeLines="1700" w:line="560" w:lineRule="exact"/>
        <w:ind w:firstLine="0" w:firstLineChars="0"/>
        <w:jc w:val="center"/>
        <w:textAlignment w:val="auto"/>
        <w:rPr>
          <w:rFonts w:hint="eastAsia" w:ascii="宋体" w:hAnsi="宋体" w:eastAsia="宋体" w:cs="宋体"/>
          <w:b/>
          <w:bCs/>
          <w:color w:val="auto"/>
          <w:kern w:val="36"/>
          <w:sz w:val="44"/>
          <w:szCs w:val="44"/>
          <w:lang w:eastAsia="zh-CN"/>
        </w:rPr>
      </w:pPr>
      <w:bookmarkStart w:id="0" w:name="a000"/>
      <w:r>
        <w:rPr>
          <w:rFonts w:hint="eastAsia" w:ascii="宋体" w:hAnsi="宋体" w:eastAsia="宋体" w:cs="宋体"/>
          <w:b/>
          <w:bCs/>
          <w:color w:val="auto"/>
          <w:kern w:val="36"/>
          <w:sz w:val="44"/>
          <w:szCs w:val="44"/>
        </w:rPr>
        <w:t>2023</w:t>
      </w:r>
      <w:r>
        <w:rPr>
          <w:rFonts w:hint="eastAsia" w:ascii="宋体" w:hAnsi="宋体" w:eastAsia="宋体" w:cs="宋体"/>
          <w:b/>
          <w:bCs/>
          <w:color w:val="auto"/>
          <w:kern w:val="36"/>
          <w:sz w:val="44"/>
          <w:szCs w:val="44"/>
        </w:rPr>
        <w:t>年度</w:t>
      </w:r>
      <w:r>
        <w:rPr>
          <w:rFonts w:hint="eastAsia" w:ascii="宋体" w:hAnsi="宋体" w:eastAsia="宋体" w:cs="宋体"/>
          <w:b/>
          <w:bCs/>
          <w:color w:val="auto"/>
          <w:kern w:val="36"/>
          <w:sz w:val="44"/>
          <w:szCs w:val="44"/>
          <w:lang w:eastAsia="zh-CN"/>
        </w:rPr>
        <w:t>通辽铁路运输检察院单位</w:t>
      </w:r>
    </w:p>
    <w:p>
      <w:pPr>
        <w:pStyle w:val="2"/>
        <w:keepNext w:val="0"/>
        <w:keepLines w:val="0"/>
        <w:pageBreakBefore w:val="0"/>
        <w:widowControl/>
        <w:kinsoku/>
        <w:wordWrap/>
        <w:overflowPunct/>
        <w:topLinePunct w:val="0"/>
        <w:autoSpaceDE/>
        <w:autoSpaceDN/>
        <w:bidi w:val="0"/>
        <w:adjustRightInd/>
        <w:snapToGrid/>
        <w:spacing w:before="0" w:after="5305" w:afterLines="1700" w:line="560" w:lineRule="exact"/>
        <w:ind w:firstLine="0" w:firstLineChars="0"/>
        <w:jc w:val="center"/>
        <w:textAlignment w:val="auto"/>
        <w:rPr>
          <w:rFonts w:hint="eastAsia" w:ascii="宋体" w:hAnsi="宋体" w:eastAsia="宋体" w:cs="宋体"/>
          <w:b/>
          <w:bCs/>
          <w:kern w:val="0"/>
          <w:sz w:val="44"/>
          <w:szCs w:val="44"/>
          <w:lang w:eastAsia="zh-CN"/>
        </w:rPr>
      </w:pPr>
      <w:r>
        <w:rPr>
          <w:rFonts w:hint="eastAsia" w:ascii="宋体" w:hAnsi="宋体" w:eastAsia="宋体" w:cs="宋体"/>
          <w:b/>
          <w:bCs/>
          <w:color w:val="auto"/>
          <w:kern w:val="36"/>
          <w:sz w:val="44"/>
          <w:szCs w:val="44"/>
          <w:lang w:eastAsia="zh-CN"/>
        </w:rPr>
        <w:t>决算公开报告</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br w:type="page"/>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p>
      <w:pPr>
        <w:pStyle w:val="3"/>
        <w:keepNext w:val="0"/>
        <w:keepLines w:val="0"/>
        <w:pageBreakBefore w:val="0"/>
        <w:widowControl/>
        <w:numPr>
          <w:ilvl w:val="0"/>
          <w:numId w:val="1"/>
        </w:numPr>
        <w:kinsoku/>
        <w:wordWrap/>
        <w:overflowPunct/>
        <w:topLinePunct w:val="0"/>
        <w:autoSpaceDE/>
        <w:autoSpaceDN/>
        <w:bidi w:val="0"/>
        <w:spacing w:before="299" w:after="299" w:line="560" w:lineRule="exact"/>
        <w:ind w:firstLine="640" w:firstLineChars="200"/>
        <w:jc w:val="left"/>
        <w:textAlignment w:val="auto"/>
        <w:rPr>
          <w:rFonts w:hint="eastAsia" w:ascii="黑体" w:hAnsi="黑体" w:eastAsia="黑体" w:cs="黑体"/>
          <w:b w:val="0"/>
          <w:bCs w:val="0"/>
          <w:color w:val="auto"/>
          <w:kern w:val="0"/>
          <w:sz w:val="32"/>
          <w:szCs w:val="32"/>
        </w:rPr>
      </w:pPr>
      <w:r>
        <w:rPr>
          <w:rFonts w:hint="eastAsia" w:ascii="黑体" w:hAnsi="黑体" w:eastAsia="黑体" w:cs="黑体"/>
          <w:b w:val="0"/>
          <w:bCs w:val="0"/>
          <w:color w:val="auto"/>
          <w:kern w:val="0"/>
          <w:sz w:val="32"/>
          <w:szCs w:val="32"/>
        </w:rPr>
        <w:t>单位情况</w:t>
      </w:r>
    </w:p>
    <w:p>
      <w:pPr>
        <w:pStyle w:val="3"/>
        <w:keepNext w:val="0"/>
        <w:keepLines w:val="0"/>
        <w:pageBreakBefore w:val="0"/>
        <w:widowControl/>
        <w:numPr>
          <w:ilvl w:val="0"/>
          <w:numId w:val="2"/>
        </w:numPr>
        <w:kinsoku/>
        <w:wordWrap/>
        <w:overflowPunct/>
        <w:topLinePunct w:val="0"/>
        <w:autoSpaceDE/>
        <w:autoSpaceDN/>
        <w:bidi w:val="0"/>
        <w:adjustRightInd/>
        <w:snapToGrid/>
        <w:spacing w:before="299" w:after="299" w:line="560" w:lineRule="exact"/>
        <w:ind w:firstLine="640" w:firstLineChars="200"/>
        <w:jc w:val="left"/>
        <w:textAlignment w:val="auto"/>
        <w:rPr>
          <w:rFonts w:hint="eastAsia" w:ascii="楷体" w:hAnsi="楷体" w:eastAsia="楷体" w:cs="楷体"/>
          <w:b w:val="0"/>
          <w:bCs w:val="0"/>
          <w:color w:val="auto"/>
          <w:kern w:val="0"/>
          <w:sz w:val="32"/>
          <w:szCs w:val="32"/>
        </w:rPr>
      </w:pPr>
      <w:r>
        <w:rPr>
          <w:rFonts w:hint="eastAsia" w:ascii="楷体" w:hAnsi="楷体" w:eastAsia="楷体" w:cs="楷体"/>
          <w:b w:val="0"/>
          <w:bCs w:val="0"/>
          <w:color w:val="auto"/>
          <w:kern w:val="0"/>
          <w:sz w:val="32"/>
          <w:szCs w:val="32"/>
        </w:rPr>
        <w:t>基本情况</w:t>
      </w:r>
    </w:p>
    <w:p>
      <w:pPr>
        <w:pStyle w:val="3"/>
        <w:keepNext w:val="0"/>
        <w:keepLines w:val="0"/>
        <w:pageBreakBefore w:val="0"/>
        <w:widowControl/>
        <w:numPr>
          <w:numId w:val="0"/>
        </w:numPr>
        <w:kinsoku/>
        <w:wordWrap/>
        <w:overflowPunct/>
        <w:topLinePunct w:val="0"/>
        <w:autoSpaceDE/>
        <w:autoSpaceDN/>
        <w:bidi w:val="0"/>
        <w:adjustRightInd/>
        <w:snapToGrid/>
        <w:spacing w:before="299" w:after="299" w:line="560" w:lineRule="exact"/>
        <w:ind w:firstLine="640" w:firstLineChars="200"/>
        <w:jc w:val="left"/>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主要职能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单位职能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人民检察院是国家法律监督机关。</w:t>
      </w:r>
      <w:r>
        <w:rPr>
          <w:rFonts w:hint="eastAsia" w:ascii="仿宋" w:hAnsi="仿宋" w:eastAsia="仿宋" w:cs="仿宋"/>
          <w:sz w:val="32"/>
          <w:szCs w:val="32"/>
        </w:rPr>
        <w:t>通辽铁路运输</w:t>
      </w:r>
      <w:r>
        <w:rPr>
          <w:rFonts w:hint="eastAsia" w:ascii="仿宋" w:hAnsi="仿宋" w:eastAsia="仿宋" w:cs="仿宋"/>
          <w:sz w:val="32"/>
          <w:szCs w:val="32"/>
        </w:rPr>
        <w:t>检察依法履行法律监督职能。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部门主要</w:t>
      </w:r>
      <w:r>
        <w:rPr>
          <w:rFonts w:hint="eastAsia" w:ascii="仿宋" w:hAnsi="仿宋" w:eastAsia="仿宋" w:cs="仿宋"/>
          <w:sz w:val="32"/>
          <w:szCs w:val="32"/>
        </w:rPr>
        <w:t>职责</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刑事案件的审查逮捕、审查起诉,补充侦查、出庭公诉、抗诉、复议、刑事申诉和立案监督、侦查监督、审判监督等工作。刑事执行检察工作。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民事、行政检察工作。受理控告、举报、申诉，办理国家赔偿案件和国家司法救助案件。法律政策研究、检察委员会日常工作。案件管理、人民监督员等工作。检察技术等工作。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公益诉讼检察工作(含涉及生态环境保护和资源保护、食品药品安全等公益诉讼保护领域的刑事检察工作)。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机关文电、会务、机要、档案、保密等工作。协助院领导处理检察政务,组织协调院重要工作部署、重大决策的贯彻实施。起草审核相关文件文稿,处理检察信息,编发内部刊物。人大代表联络工作和特约检察员联系工作。领导同志批办事项督查工作。协调管理新闻宣传工作。国有资产、物资装备管理和计划财务工作,信息化建设等工作。翻译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思想政治工作和组织人事工作。机关党建和群团工作,队伍建设、思想建设、文化建设、教育培训、离退休干部工作。检务督查工作。配合开展纪检监察工作。</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 xml:space="preserve"> </w:t>
      </w:r>
      <w:r>
        <w:rPr>
          <w:rFonts w:hint="eastAsia" w:ascii="仿宋" w:hAnsi="仿宋" w:eastAsia="仿宋" w:cs="仿宋"/>
          <w:sz w:val="32"/>
          <w:szCs w:val="32"/>
        </w:rPr>
        <w:t>办案场所警戒、人员押解和看管等警务事项。</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w:t>
      </w:r>
      <w:r>
        <w:rPr>
          <w:rFonts w:hint="eastAsia" w:ascii="仿宋" w:hAnsi="仿宋" w:eastAsia="仿宋" w:cs="仿宋"/>
          <w:kern w:val="0"/>
          <w:sz w:val="32"/>
          <w:szCs w:val="32"/>
        </w:rPr>
        <w:t>．机构情况：本单位通辽铁路运输检察院，本级，报表类型为：单户表，如有变动请分析原因。</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3．人员情况：年末独立核算机构数：1 个，在职人员：25 人，离休人员：0人，退休人员：0人，实有人数26人,一般公共预算财政拨款开支人员：26人，年末遗属人员：0人。</w:t>
      </w:r>
    </w:p>
    <w:p>
      <w:pPr>
        <w:keepNext w:val="0"/>
        <w:keepLines w:val="0"/>
        <w:pageBreakBefore w:val="0"/>
        <w:kinsoku/>
        <w:wordWrap/>
        <w:overflowPunct/>
        <w:topLinePunct w:val="0"/>
        <w:autoSpaceDE/>
        <w:autoSpaceDN/>
        <w:bidi w:val="0"/>
        <w:spacing w:line="560" w:lineRule="exact"/>
        <w:ind w:firstLine="643" w:firstLineChars="200"/>
        <w:textAlignment w:val="auto"/>
        <w:rPr>
          <w:rFonts w:hint="eastAsia" w:ascii="仿宋" w:hAnsi="仿宋" w:eastAsia="仿宋" w:cs="仿宋"/>
          <w:b/>
          <w:bCs/>
          <w:color w:val="auto"/>
          <w:kern w:val="0"/>
          <w:sz w:val="32"/>
          <w:szCs w:val="32"/>
        </w:rPr>
      </w:pPr>
      <w:r>
        <w:rPr>
          <w:rFonts w:hint="eastAsia" w:ascii="仿宋" w:hAnsi="仿宋" w:eastAsia="仿宋" w:cs="仿宋"/>
          <w:b/>
          <w:bCs/>
          <w:color w:val="auto"/>
          <w:kern w:val="0"/>
          <w:sz w:val="32"/>
          <w:szCs w:val="32"/>
        </w:rPr>
        <w:t>（二）当年取得的主要事业成效。</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kern w:val="0"/>
          <w:sz w:val="32"/>
          <w:szCs w:val="32"/>
        </w:rPr>
        <w:t> </w:t>
      </w:r>
      <w:r>
        <w:rPr>
          <w:rFonts w:hint="eastAsia" w:ascii="仿宋" w:hAnsi="仿宋" w:eastAsia="仿宋" w:cs="仿宋"/>
          <w:sz w:val="32"/>
          <w:szCs w:val="32"/>
        </w:rPr>
        <w:t>2023年，通辽铁路运输检察院坚以习近平中国特色社会主义思想为指导，</w:t>
      </w:r>
      <w:r>
        <w:rPr>
          <w:rFonts w:hint="eastAsia" w:ascii="仿宋" w:hAnsi="仿宋" w:eastAsia="仿宋" w:cs="仿宋"/>
          <w:sz w:val="32"/>
          <w:szCs w:val="32"/>
        </w:rPr>
        <w:t>以学习宣传</w:t>
      </w:r>
      <w:r>
        <w:rPr>
          <w:rFonts w:hint="eastAsia" w:ascii="仿宋" w:hAnsi="仿宋" w:eastAsia="仿宋" w:cs="仿宋"/>
          <w:sz w:val="32"/>
          <w:szCs w:val="32"/>
        </w:rPr>
        <w:t>贯彻</w:t>
      </w:r>
      <w:r>
        <w:rPr>
          <w:rFonts w:hint="eastAsia" w:ascii="仿宋" w:hAnsi="仿宋" w:eastAsia="仿宋" w:cs="仿宋"/>
          <w:sz w:val="32"/>
          <w:szCs w:val="32"/>
        </w:rPr>
        <w:t>党的二十大精神为主旨</w:t>
      </w:r>
      <w:r>
        <w:rPr>
          <w:rFonts w:hint="eastAsia" w:ascii="仿宋" w:hAnsi="仿宋" w:eastAsia="仿宋" w:cs="仿宋"/>
          <w:sz w:val="32"/>
          <w:szCs w:val="32"/>
        </w:rPr>
        <w:t>，以</w:t>
      </w:r>
      <w:r>
        <w:rPr>
          <w:rFonts w:hint="eastAsia" w:ascii="仿宋" w:hAnsi="仿宋" w:eastAsia="仿宋" w:cs="仿宋"/>
          <w:sz w:val="32"/>
          <w:szCs w:val="32"/>
        </w:rPr>
        <w:t>习近平法治思想</w:t>
      </w:r>
      <w:r>
        <w:rPr>
          <w:rFonts w:hint="eastAsia" w:ascii="仿宋" w:hAnsi="仿宋" w:eastAsia="仿宋" w:cs="仿宋"/>
          <w:sz w:val="32"/>
          <w:szCs w:val="32"/>
        </w:rPr>
        <w:t>为主线</w:t>
      </w:r>
      <w:r>
        <w:rPr>
          <w:rFonts w:hint="eastAsia" w:ascii="仿宋" w:hAnsi="仿宋" w:eastAsia="仿宋" w:cs="仿宋"/>
          <w:sz w:val="32"/>
          <w:szCs w:val="32"/>
        </w:rPr>
        <w:t>，</w:t>
      </w:r>
      <w:r>
        <w:rPr>
          <w:rFonts w:hint="eastAsia" w:ascii="仿宋" w:hAnsi="仿宋" w:eastAsia="仿宋" w:cs="仿宋"/>
          <w:sz w:val="32"/>
          <w:szCs w:val="32"/>
        </w:rPr>
        <w:t>以学习贯彻习近平新时代中国特色社会主义思想主题教育为契机</w:t>
      </w:r>
      <w:r>
        <w:rPr>
          <w:rFonts w:hint="eastAsia" w:ascii="仿宋" w:hAnsi="仿宋" w:eastAsia="仿宋" w:cs="仿宋"/>
          <w:sz w:val="32"/>
          <w:szCs w:val="32"/>
        </w:rPr>
        <w:t>，</w:t>
      </w:r>
      <w:r>
        <w:rPr>
          <w:rFonts w:hint="eastAsia" w:ascii="仿宋" w:hAnsi="仿宋" w:eastAsia="仿宋" w:cs="仿宋"/>
          <w:sz w:val="32"/>
          <w:szCs w:val="32"/>
        </w:rPr>
        <w:t>深入落实中发28号文件、最高检重要工作要求、自治区党委重点措施及呼铁检察分院工作部署，落实全国、全区检察长会议精神，落实“1231”总要求，推进“六大统一行动”“四大提升工程”，</w:t>
      </w:r>
      <w:r>
        <w:rPr>
          <w:rFonts w:hint="eastAsia" w:ascii="仿宋" w:hAnsi="仿宋" w:eastAsia="仿宋" w:cs="仿宋"/>
          <w:sz w:val="32"/>
          <w:szCs w:val="32"/>
        </w:rPr>
        <w:t>立足“三足鼎立”业务新格局，</w:t>
      </w:r>
      <w:r>
        <w:rPr>
          <w:rFonts w:hint="eastAsia" w:ascii="仿宋" w:hAnsi="仿宋" w:eastAsia="仿宋" w:cs="仿宋"/>
          <w:sz w:val="32"/>
          <w:szCs w:val="32"/>
        </w:rPr>
        <w:t>重点提升核心业务数据和案件质效，全体检察人员积极能动履职，抓住节点、突出重点、突破难点、打造亮点，</w:t>
      </w:r>
      <w:r>
        <w:rPr>
          <w:rFonts w:hint="eastAsia" w:ascii="仿宋" w:hAnsi="仿宋" w:eastAsia="仿宋" w:cs="仿宋"/>
          <w:sz w:val="32"/>
          <w:szCs w:val="32"/>
        </w:rPr>
        <w:t>以院党组确定的“七个依托”思路</w:t>
      </w:r>
      <w:r>
        <w:rPr>
          <w:rFonts w:hint="eastAsia" w:ascii="仿宋" w:hAnsi="仿宋" w:eastAsia="仿宋" w:cs="仿宋"/>
          <w:sz w:val="32"/>
          <w:szCs w:val="32"/>
        </w:rPr>
        <w:t>，</w:t>
      </w:r>
      <w:r>
        <w:rPr>
          <w:rFonts w:hint="eastAsia" w:ascii="仿宋" w:hAnsi="仿宋" w:eastAsia="仿宋" w:cs="仿宋"/>
          <w:sz w:val="32"/>
          <w:szCs w:val="32"/>
        </w:rPr>
        <w:t>强作风、重落实、提效能，</w:t>
      </w:r>
      <w:r>
        <w:rPr>
          <w:rFonts w:hint="eastAsia" w:ascii="仿宋" w:hAnsi="仿宋" w:eastAsia="仿宋" w:cs="仿宋"/>
          <w:sz w:val="32"/>
          <w:szCs w:val="32"/>
        </w:rPr>
        <w:t>优质高效地完成了各项工作</w:t>
      </w:r>
      <w:r>
        <w:rPr>
          <w:rFonts w:hint="eastAsia" w:ascii="仿宋" w:hAnsi="仿宋" w:eastAsia="仿宋" w:cs="仿宋"/>
          <w:sz w:val="32"/>
          <w:szCs w:val="32"/>
        </w:rPr>
        <w:t>。</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抓实案件质量，提升刑事检察效能</w:t>
      </w: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受理审查逮捕案件2件2人，不批准逮捕2件2人（证据不足不批准逮捕1件1人、无逮捕必要不批准逮捕1件1人）。受理审查起诉1</w:t>
      </w:r>
      <w:r>
        <w:rPr>
          <w:rFonts w:hint="eastAsia" w:ascii="仿宋" w:hAnsi="仿宋" w:eastAsia="仿宋" w:cs="仿宋"/>
          <w:sz w:val="32"/>
          <w:szCs w:val="32"/>
        </w:rPr>
        <w:t>5</w:t>
      </w:r>
      <w:r>
        <w:rPr>
          <w:rFonts w:hint="eastAsia" w:ascii="仿宋" w:hAnsi="仿宋" w:eastAsia="仿宋" w:cs="仿宋"/>
          <w:sz w:val="32"/>
          <w:szCs w:val="32"/>
        </w:rPr>
        <w:t>件4</w:t>
      </w:r>
      <w:r>
        <w:rPr>
          <w:rFonts w:hint="eastAsia" w:ascii="仿宋" w:hAnsi="仿宋" w:eastAsia="仿宋" w:cs="仿宋"/>
          <w:sz w:val="32"/>
          <w:szCs w:val="32"/>
        </w:rPr>
        <w:t>3</w:t>
      </w:r>
      <w:r>
        <w:rPr>
          <w:rFonts w:hint="eastAsia" w:ascii="仿宋" w:hAnsi="仿宋" w:eastAsia="仿宋" w:cs="仿宋"/>
          <w:sz w:val="32"/>
          <w:szCs w:val="32"/>
        </w:rPr>
        <w:t>人，上年积存8件28人，审结18件54人（其中起诉</w:t>
      </w:r>
      <w:r>
        <w:rPr>
          <w:rFonts w:hint="eastAsia" w:ascii="仿宋" w:hAnsi="仿宋" w:eastAsia="仿宋" w:cs="仿宋"/>
          <w:sz w:val="32"/>
          <w:szCs w:val="32"/>
        </w:rPr>
        <w:t>7</w:t>
      </w:r>
      <w:r>
        <w:rPr>
          <w:rFonts w:hint="eastAsia" w:ascii="仿宋" w:hAnsi="仿宋" w:eastAsia="仿宋" w:cs="仿宋"/>
          <w:sz w:val="32"/>
          <w:szCs w:val="32"/>
        </w:rPr>
        <w:t>件3</w:t>
      </w:r>
      <w:r>
        <w:rPr>
          <w:rFonts w:hint="eastAsia" w:ascii="仿宋" w:hAnsi="仿宋" w:eastAsia="仿宋" w:cs="仿宋"/>
          <w:sz w:val="32"/>
          <w:szCs w:val="32"/>
        </w:rPr>
        <w:t>3</w:t>
      </w:r>
      <w:r>
        <w:rPr>
          <w:rFonts w:hint="eastAsia" w:ascii="仿宋" w:hAnsi="仿宋" w:eastAsia="仿宋" w:cs="仿宋"/>
          <w:sz w:val="32"/>
          <w:szCs w:val="32"/>
        </w:rPr>
        <w:t>人，不起诉9件19人，公安机关撤回1件1人，退查后未重报1件1人），在办5件17人。认罪认罚从宽制度适用率91.83%，提出确定刑量刑建议和量刑建议采纳率均为100%。</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强化检警协作，</w:t>
      </w:r>
      <w:r>
        <w:rPr>
          <w:rFonts w:hint="eastAsia" w:ascii="仿宋" w:hAnsi="仿宋" w:eastAsia="仿宋" w:cs="仿宋"/>
          <w:sz w:val="32"/>
          <w:szCs w:val="32"/>
        </w:rPr>
        <w:t>扎实</w:t>
      </w:r>
      <w:r>
        <w:rPr>
          <w:rFonts w:hint="eastAsia" w:ascii="仿宋" w:hAnsi="仿宋" w:eastAsia="仿宋" w:cs="仿宋"/>
          <w:sz w:val="32"/>
          <w:szCs w:val="32"/>
        </w:rPr>
        <w:t>推进“两项监督”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依托侦查协作办公室，检警良性互动助推办案质效提升。定期走访派出所，每周开展案件监督，通过座谈交流、向公安授课，统一思想，持续提升案件质效。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rPr>
        <w:t>强化立案监督工作，对一起涉案金额未达到盗窃罪立案标准，属不应当立案而立案的案件，向公安机关制发《要求说明立案理由通知书》，启动立案监督程序，监督公安撤案1件1人。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通过案卷审查，针对侦查机关讯问笔录时间、地点等事项填写不完整、不规范的问题，制发《侦查活动监督通知书》</w:t>
      </w:r>
      <w:r>
        <w:rPr>
          <w:rFonts w:hint="eastAsia" w:ascii="仿宋" w:hAnsi="仿宋" w:eastAsia="仿宋" w:cs="仿宋"/>
          <w:sz w:val="32"/>
          <w:szCs w:val="32"/>
        </w:rPr>
        <w:t>3</w:t>
      </w:r>
      <w:r>
        <w:rPr>
          <w:rFonts w:hint="eastAsia" w:ascii="仿宋" w:hAnsi="仿宋" w:eastAsia="仿宋" w:cs="仿宋"/>
          <w:sz w:val="32"/>
          <w:szCs w:val="32"/>
        </w:rPr>
        <w:t>份；针对侦查机关超时限传唤问题，制发《纠正违法通知书》</w:t>
      </w:r>
      <w:r>
        <w:rPr>
          <w:rFonts w:hint="eastAsia" w:ascii="仿宋" w:hAnsi="仿宋" w:eastAsia="仿宋" w:cs="仿宋"/>
          <w:sz w:val="32"/>
          <w:szCs w:val="32"/>
        </w:rPr>
        <w:t>2</w:t>
      </w:r>
      <w:r>
        <w:rPr>
          <w:rFonts w:hint="eastAsia" w:ascii="仿宋" w:hAnsi="仿宋" w:eastAsia="仿宋" w:cs="仿宋"/>
          <w:sz w:val="32"/>
          <w:szCs w:val="32"/>
        </w:rPr>
        <w:t>份，均在限期内回复并整改。</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擦亮未检品牌</w:t>
      </w:r>
      <w:r>
        <w:rPr>
          <w:rFonts w:hint="eastAsia" w:ascii="仿宋" w:hAnsi="仿宋" w:eastAsia="仿宋" w:cs="仿宋"/>
          <w:sz w:val="32"/>
          <w:szCs w:val="32"/>
        </w:rPr>
        <w:t>，</w:t>
      </w:r>
      <w:r>
        <w:rPr>
          <w:rFonts w:hint="eastAsia" w:ascii="仿宋" w:hAnsi="仿宋" w:eastAsia="仿宋" w:cs="仿宋"/>
          <w:sz w:val="32"/>
          <w:szCs w:val="32"/>
        </w:rPr>
        <w:t>筑牢司法保护防线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贯彻落实“一号检察建议”，加强与学校的协作配合，</w:t>
      </w:r>
      <w:r>
        <w:rPr>
          <w:rFonts w:hint="eastAsia" w:ascii="仿宋" w:hAnsi="仿宋" w:eastAsia="仿宋" w:cs="仿宋"/>
          <w:sz w:val="32"/>
          <w:szCs w:val="32"/>
        </w:rPr>
        <w:t>依托“萨日朗”未检工作室，</w:t>
      </w:r>
      <w:r>
        <w:rPr>
          <w:rFonts w:hint="eastAsia" w:ascii="仿宋" w:hAnsi="仿宋" w:eastAsia="仿宋" w:cs="仿宋"/>
          <w:sz w:val="32"/>
          <w:szCs w:val="32"/>
        </w:rPr>
        <w:t>履行未成年人保护法律监督职责。院领导班子全员兼</w:t>
      </w:r>
      <w:r>
        <w:rPr>
          <w:rFonts w:hint="eastAsia" w:ascii="仿宋" w:hAnsi="仿宋" w:eastAsia="仿宋" w:cs="仿宋"/>
          <w:sz w:val="32"/>
          <w:szCs w:val="32"/>
        </w:rPr>
        <w:t>任</w:t>
      </w:r>
      <w:r>
        <w:rPr>
          <w:rFonts w:hint="eastAsia" w:ascii="仿宋" w:hAnsi="仿宋" w:eastAsia="仿宋" w:cs="仿宋"/>
          <w:sz w:val="32"/>
          <w:szCs w:val="32"/>
        </w:rPr>
        <w:t>法治副校长，开展</w:t>
      </w:r>
      <w:r>
        <w:rPr>
          <w:rFonts w:hint="eastAsia" w:ascii="仿宋" w:hAnsi="仿宋" w:eastAsia="仿宋" w:cs="仿宋"/>
          <w:sz w:val="32"/>
          <w:szCs w:val="32"/>
        </w:rPr>
        <w:t>“</w:t>
      </w:r>
      <w:r>
        <w:rPr>
          <w:rFonts w:hint="eastAsia" w:ascii="仿宋" w:hAnsi="仿宋" w:eastAsia="仿宋" w:cs="仿宋"/>
          <w:sz w:val="32"/>
          <w:szCs w:val="32"/>
        </w:rPr>
        <w:t>法治进校园</w:t>
      </w:r>
      <w:r>
        <w:rPr>
          <w:rFonts w:hint="eastAsia" w:ascii="仿宋" w:hAnsi="仿宋" w:eastAsia="仿宋" w:cs="仿宋"/>
          <w:sz w:val="32"/>
          <w:szCs w:val="32"/>
        </w:rPr>
        <w:t>”</w:t>
      </w:r>
      <w:r>
        <w:rPr>
          <w:rFonts w:hint="eastAsia" w:ascii="仿宋" w:hAnsi="仿宋" w:eastAsia="仿宋" w:cs="仿宋"/>
          <w:sz w:val="32"/>
          <w:szCs w:val="32"/>
        </w:rPr>
        <w:t>宣讲8次，辅导模拟法庭</w:t>
      </w:r>
      <w:r>
        <w:rPr>
          <w:rFonts w:hint="eastAsia" w:ascii="仿宋" w:hAnsi="仿宋" w:eastAsia="仿宋" w:cs="仿宋"/>
          <w:sz w:val="32"/>
          <w:szCs w:val="32"/>
        </w:rPr>
        <w:t>2</w:t>
      </w:r>
      <w:r>
        <w:rPr>
          <w:rFonts w:hint="eastAsia" w:ascii="仿宋" w:hAnsi="仿宋" w:eastAsia="仿宋" w:cs="仿宋"/>
          <w:sz w:val="32"/>
          <w:szCs w:val="32"/>
        </w:rPr>
        <w:t>次，开展“检爱同行、共护花开”主题检察开放日1次</w:t>
      </w:r>
      <w:r>
        <w:rPr>
          <w:rFonts w:hint="eastAsia" w:ascii="仿宋" w:hAnsi="仿宋" w:eastAsia="仿宋" w:cs="仿宋"/>
          <w:sz w:val="32"/>
          <w:szCs w:val="32"/>
        </w:rPr>
        <w:t>。</w:t>
      </w:r>
      <w:r>
        <w:rPr>
          <w:rFonts w:hint="eastAsia" w:ascii="仿宋" w:hAnsi="仿宋" w:eastAsia="仿宋" w:cs="仿宋"/>
          <w:sz w:val="32"/>
          <w:szCs w:val="32"/>
        </w:rPr>
        <w:t>与通辽实验中学共建检校法治教育基地，强化法治宣传和教育力度，为青少年健康成长保驾护航。</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积极能动履职，做实刑事执行检察</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法院生效刑事判决3件13人，判处实刑交付执行人数2件4人均已交付执行；2023年社区矫正人员19人，未执行1人（因犯其他罪被公安机关逮捕）已执行完毕6人，执行中12人；刑事生效判决涉财产刑13人。调取铁路法院2022年生效刑事判决涉财产刑执行案件电子卷宗，针对财产刑执行顺序错误问题制发</w:t>
      </w:r>
      <w:r>
        <w:rPr>
          <w:rFonts w:hint="eastAsia" w:ascii="仿宋" w:hAnsi="仿宋" w:eastAsia="仿宋" w:cs="仿宋"/>
          <w:sz w:val="32"/>
          <w:szCs w:val="32"/>
        </w:rPr>
        <w:t>《</w:t>
      </w:r>
      <w:r>
        <w:rPr>
          <w:rFonts w:hint="eastAsia" w:ascii="仿宋" w:hAnsi="仿宋" w:eastAsia="仿宋" w:cs="仿宋"/>
          <w:sz w:val="32"/>
          <w:szCs w:val="32"/>
        </w:rPr>
        <w:t>纠正违法通知书</w:t>
      </w:r>
      <w:r>
        <w:rPr>
          <w:rFonts w:hint="eastAsia" w:ascii="仿宋" w:hAnsi="仿宋" w:eastAsia="仿宋" w:cs="仿宋"/>
          <w:sz w:val="32"/>
          <w:szCs w:val="32"/>
        </w:rPr>
        <w:t>》</w:t>
      </w:r>
      <w:r>
        <w:rPr>
          <w:rFonts w:hint="eastAsia" w:ascii="仿宋" w:hAnsi="仿宋" w:eastAsia="仿宋" w:cs="仿宋"/>
          <w:sz w:val="32"/>
          <w:szCs w:val="32"/>
        </w:rPr>
        <w:t>1份，已得到法院采纳回复。</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坚持前端治理，</w:t>
      </w:r>
      <w:r>
        <w:rPr>
          <w:rFonts w:hint="eastAsia" w:ascii="仿宋" w:hAnsi="仿宋" w:eastAsia="仿宋" w:cs="仿宋"/>
          <w:sz w:val="32"/>
          <w:szCs w:val="32"/>
        </w:rPr>
        <w:t>凝聚公益保护合力</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依托运用“法眼”大数据平台，受理公益诉讼案件线索44件。立案11件，其中涉铁领域案件4件，国土国财领域案件1件，资源保护领域案件6件。坚持节约司法资源，与行政机关磋商5次，制发公益诉讼检察建议书6份，多途径实现诉前解决，推动繁简分流，保护国家和社会公共利益。举办检察开放日活动1次，邀请人大代表、听证员和特邀检察官助理，</w:t>
      </w:r>
      <w:r>
        <w:rPr>
          <w:rFonts w:hint="eastAsia" w:ascii="仿宋" w:hAnsi="仿宋" w:eastAsia="仿宋" w:cs="仿宋"/>
          <w:sz w:val="32"/>
          <w:szCs w:val="32"/>
        </w:rPr>
        <w:t>共同守护公共利益</w:t>
      </w:r>
      <w:r>
        <w:rPr>
          <w:rFonts w:hint="eastAsia" w:ascii="仿宋" w:hAnsi="仿宋" w:eastAsia="仿宋" w:cs="仿宋"/>
          <w:sz w:val="32"/>
          <w:szCs w:val="32"/>
        </w:rPr>
        <w:t>。参加全区铁检机关环资类公益诉讼案件勘验取证及大数据平台应用经验交流暨技能大赛，在水质检测和文书制作环节均取得第三名。</w:t>
      </w:r>
      <w:r>
        <w:rPr>
          <w:rFonts w:hint="eastAsia" w:ascii="仿宋" w:hAnsi="仿宋" w:eastAsia="仿宋" w:cs="仿宋"/>
          <w:sz w:val="32"/>
          <w:szCs w:val="32"/>
        </w:rPr>
        <w:t>聘任</w:t>
      </w:r>
      <w:r>
        <w:rPr>
          <w:rFonts w:hint="eastAsia" w:ascii="仿宋" w:hAnsi="仿宋" w:eastAsia="仿宋" w:cs="仿宋"/>
          <w:sz w:val="32"/>
          <w:szCs w:val="32"/>
        </w:rPr>
        <w:t>特邀检察官助理，协同“外脑”提高专业化水平。</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强化精细管理，</w:t>
      </w:r>
      <w:r>
        <w:rPr>
          <w:rFonts w:hint="eastAsia" w:ascii="仿宋" w:hAnsi="仿宋" w:eastAsia="仿宋" w:cs="仿宋"/>
          <w:sz w:val="32"/>
          <w:szCs w:val="32"/>
        </w:rPr>
        <w:t>严格把好</w:t>
      </w:r>
      <w:r>
        <w:rPr>
          <w:rFonts w:hint="eastAsia" w:ascii="仿宋" w:hAnsi="仿宋" w:eastAsia="仿宋" w:cs="仿宋"/>
          <w:sz w:val="32"/>
          <w:szCs w:val="32"/>
        </w:rPr>
        <w:t>案件端口</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严把案件质量关。完成日常数据审核，导出案件信息24次，接收外来法律文书18份。每月开展流程监控。协助呼铁分院</w:t>
      </w:r>
      <w:r>
        <w:rPr>
          <w:rFonts w:hint="eastAsia" w:ascii="仿宋" w:hAnsi="仿宋" w:eastAsia="仿宋" w:cs="仿宋"/>
          <w:sz w:val="32"/>
          <w:szCs w:val="32"/>
        </w:rPr>
        <w:t>以及自行</w:t>
      </w:r>
      <w:r>
        <w:rPr>
          <w:rFonts w:hint="eastAsia" w:ascii="仿宋" w:hAnsi="仿宋" w:eastAsia="仿宋" w:cs="仿宋"/>
          <w:sz w:val="32"/>
          <w:szCs w:val="32"/>
        </w:rPr>
        <w:t>组织开展2023年案件质量评查工作</w:t>
      </w:r>
      <w:r>
        <w:rPr>
          <w:rFonts w:hint="eastAsia" w:ascii="仿宋" w:hAnsi="仿宋" w:eastAsia="仿宋" w:cs="仿宋"/>
          <w:sz w:val="32"/>
          <w:szCs w:val="32"/>
        </w:rPr>
        <w:t>3</w:t>
      </w:r>
      <w:r>
        <w:rPr>
          <w:rFonts w:hint="eastAsia" w:ascii="仿宋" w:hAnsi="仿宋" w:eastAsia="仿宋" w:cs="仿宋"/>
          <w:sz w:val="32"/>
          <w:szCs w:val="32"/>
        </w:rPr>
        <w:t>次，针对评查反馈意见，制定整改措施，明确整改时限。严把案件服务关。制作电子卷宗15案77卷，接待律师阅卷8人次，互联网阅卷1次</w:t>
      </w:r>
      <w:r>
        <w:rPr>
          <w:rFonts w:hint="eastAsia" w:ascii="仿宋" w:hAnsi="仿宋" w:eastAsia="仿宋" w:cs="仿宋"/>
          <w:sz w:val="32"/>
          <w:szCs w:val="32"/>
        </w:rPr>
        <w:t>，</w:t>
      </w:r>
      <w:r>
        <w:rPr>
          <w:rFonts w:hint="eastAsia" w:ascii="仿宋" w:hAnsi="仿宋" w:eastAsia="仿宋" w:cs="仿宋"/>
          <w:sz w:val="32"/>
          <w:szCs w:val="32"/>
        </w:rPr>
        <w:t>完成线下送案28次。制定</w:t>
      </w:r>
      <w:r>
        <w:rPr>
          <w:rFonts w:hint="eastAsia" w:ascii="仿宋" w:hAnsi="仿宋" w:eastAsia="仿宋" w:cs="仿宋"/>
          <w:sz w:val="32"/>
          <w:szCs w:val="32"/>
        </w:rPr>
        <w:t>完善</w:t>
      </w:r>
      <w:r>
        <w:rPr>
          <w:rFonts w:hint="eastAsia" w:ascii="仿宋" w:hAnsi="仿宋" w:eastAsia="仿宋" w:cs="仿宋"/>
          <w:sz w:val="32"/>
          <w:szCs w:val="32"/>
        </w:rPr>
        <w:t>全员大轮案管理办法等制度3个，创新轮案方式，</w:t>
      </w:r>
      <w:r>
        <w:rPr>
          <w:rFonts w:hint="eastAsia" w:ascii="仿宋" w:hAnsi="仿宋" w:eastAsia="仿宋" w:cs="仿宋"/>
          <w:sz w:val="32"/>
          <w:szCs w:val="32"/>
        </w:rPr>
        <w:t>确保</w:t>
      </w:r>
      <w:r>
        <w:rPr>
          <w:rFonts w:hint="eastAsia" w:ascii="仿宋" w:hAnsi="仿宋" w:eastAsia="仿宋" w:cs="仿宋"/>
          <w:sz w:val="32"/>
          <w:szCs w:val="32"/>
        </w:rPr>
        <w:t>及时公正。严把案件数据关。</w:t>
      </w:r>
      <w:r>
        <w:rPr>
          <w:rFonts w:hint="eastAsia" w:ascii="仿宋" w:hAnsi="仿宋" w:eastAsia="仿宋" w:cs="仿宋"/>
          <w:sz w:val="32"/>
          <w:szCs w:val="32"/>
        </w:rPr>
        <w:t>集中</w:t>
      </w:r>
      <w:r>
        <w:rPr>
          <w:rFonts w:hint="eastAsia" w:ascii="仿宋" w:hAnsi="仿宋" w:eastAsia="仿宋" w:cs="仿宋"/>
          <w:sz w:val="32"/>
          <w:szCs w:val="32"/>
        </w:rPr>
        <w:t>学习案件质量主要评价指标，每月通报核心业务数据并进行数据分析，为检察官办案提供有力参考。</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创新民行检察，</w:t>
      </w:r>
      <w:r>
        <w:rPr>
          <w:rFonts w:hint="eastAsia" w:ascii="仿宋" w:hAnsi="仿宋" w:eastAsia="仿宋" w:cs="仿宋"/>
          <w:sz w:val="32"/>
          <w:szCs w:val="32"/>
        </w:rPr>
        <w:t>推动</w:t>
      </w:r>
      <w:r>
        <w:rPr>
          <w:rFonts w:hint="eastAsia" w:ascii="仿宋" w:hAnsi="仿宋" w:eastAsia="仿宋" w:cs="仿宋"/>
          <w:sz w:val="32"/>
          <w:szCs w:val="32"/>
        </w:rPr>
        <w:t>控申工作</w:t>
      </w:r>
      <w:r>
        <w:rPr>
          <w:rFonts w:hint="eastAsia" w:ascii="仿宋" w:hAnsi="仿宋" w:eastAsia="仿宋" w:cs="仿宋"/>
          <w:sz w:val="32"/>
          <w:szCs w:val="32"/>
        </w:rPr>
        <w:t>发展</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rPr>
        <w:t>民事检察创新工作思路</w:t>
      </w:r>
      <w:r>
        <w:rPr>
          <w:rFonts w:hint="eastAsia" w:ascii="仿宋" w:hAnsi="仿宋" w:eastAsia="仿宋" w:cs="仿宋"/>
          <w:sz w:val="32"/>
          <w:szCs w:val="32"/>
        </w:rPr>
        <w:t>。</w:t>
      </w:r>
      <w:r>
        <w:rPr>
          <w:rFonts w:hint="eastAsia" w:ascii="仿宋" w:hAnsi="仿宋" w:eastAsia="仿宋" w:cs="仿宋"/>
          <w:sz w:val="32"/>
          <w:szCs w:val="32"/>
        </w:rPr>
        <w:t>依托在通铁法院设立的民事检察监督岗，调研民事检察大数据建模，</w:t>
      </w:r>
      <w:r>
        <w:rPr>
          <w:rFonts w:hint="eastAsia" w:ascii="仿宋" w:hAnsi="仿宋" w:eastAsia="仿宋" w:cs="仿宋"/>
          <w:sz w:val="32"/>
          <w:szCs w:val="32"/>
        </w:rPr>
        <w:t>强化</w:t>
      </w:r>
      <w:r>
        <w:rPr>
          <w:rFonts w:hint="eastAsia" w:ascii="仿宋" w:hAnsi="仿宋" w:eastAsia="仿宋" w:cs="仿宋"/>
          <w:sz w:val="32"/>
          <w:szCs w:val="32"/>
        </w:rPr>
        <w:t>法律监督。开展“深化民事检察监督，保民生守民心”</w:t>
      </w:r>
      <w:r>
        <w:rPr>
          <w:rFonts w:hint="eastAsia" w:ascii="仿宋" w:hAnsi="仿宋" w:eastAsia="仿宋" w:cs="仿宋"/>
          <w:sz w:val="32"/>
          <w:szCs w:val="32"/>
        </w:rPr>
        <w:t>、</w:t>
      </w:r>
      <w:r>
        <w:rPr>
          <w:rFonts w:hint="eastAsia" w:ascii="仿宋" w:hAnsi="仿宋" w:eastAsia="仿宋" w:cs="仿宋"/>
          <w:sz w:val="32"/>
          <w:szCs w:val="32"/>
        </w:rPr>
        <w:t>民事审判程序监督</w:t>
      </w:r>
      <w:r>
        <w:rPr>
          <w:rFonts w:hint="eastAsia" w:ascii="仿宋" w:hAnsi="仿宋" w:eastAsia="仿宋" w:cs="仿宋"/>
          <w:sz w:val="32"/>
          <w:szCs w:val="32"/>
        </w:rPr>
        <w:t>、</w:t>
      </w:r>
      <w:r>
        <w:rPr>
          <w:rFonts w:hint="eastAsia" w:ascii="仿宋" w:hAnsi="仿宋" w:eastAsia="仿宋" w:cs="仿宋"/>
          <w:sz w:val="32"/>
          <w:szCs w:val="32"/>
        </w:rPr>
        <w:t>民事执行检察监督</w:t>
      </w:r>
      <w:r>
        <w:rPr>
          <w:rFonts w:hint="eastAsia" w:ascii="仿宋" w:hAnsi="仿宋" w:eastAsia="仿宋" w:cs="仿宋"/>
          <w:sz w:val="32"/>
          <w:szCs w:val="32"/>
        </w:rPr>
        <w:t>等</w:t>
      </w:r>
      <w:r>
        <w:rPr>
          <w:rFonts w:hint="eastAsia" w:ascii="仿宋" w:hAnsi="仿宋" w:eastAsia="仿宋" w:cs="仿宋"/>
          <w:sz w:val="32"/>
          <w:szCs w:val="32"/>
        </w:rPr>
        <w:t>专项活动，</w:t>
      </w:r>
      <w:r>
        <w:rPr>
          <w:rFonts w:hint="eastAsia" w:ascii="仿宋" w:hAnsi="仿宋" w:eastAsia="仿宋" w:cs="仿宋"/>
          <w:sz w:val="32"/>
          <w:szCs w:val="32"/>
        </w:rPr>
        <w:t>全面</w:t>
      </w:r>
      <w:r>
        <w:rPr>
          <w:rFonts w:hint="eastAsia" w:ascii="仿宋" w:hAnsi="仿宋" w:eastAsia="仿宋" w:cs="仿宋"/>
          <w:sz w:val="32"/>
          <w:szCs w:val="32"/>
        </w:rPr>
        <w:t>审查通铁法院2022年以来办结的涉民营企业终本执行案件</w:t>
      </w:r>
      <w:r>
        <w:rPr>
          <w:rFonts w:hint="eastAsia" w:ascii="仿宋" w:hAnsi="仿宋" w:eastAsia="仿宋" w:cs="仿宋"/>
          <w:sz w:val="32"/>
          <w:szCs w:val="32"/>
        </w:rPr>
        <w:t>、</w:t>
      </w:r>
      <w:r>
        <w:rPr>
          <w:rFonts w:hint="eastAsia" w:ascii="仿宋" w:hAnsi="仿宋" w:eastAsia="仿宋" w:cs="仿宋"/>
          <w:sz w:val="32"/>
          <w:szCs w:val="32"/>
        </w:rPr>
        <w:t>审结的民事诉讼案件电子卷宗</w:t>
      </w:r>
      <w:r>
        <w:rPr>
          <w:rFonts w:hint="eastAsia" w:ascii="仿宋" w:hAnsi="仿宋" w:eastAsia="仿宋" w:cs="仿宋"/>
          <w:sz w:val="32"/>
          <w:szCs w:val="32"/>
        </w:rPr>
        <w:t>、</w:t>
      </w:r>
      <w:r>
        <w:rPr>
          <w:rFonts w:hint="eastAsia" w:ascii="仿宋" w:hAnsi="仿宋" w:eastAsia="仿宋" w:cs="仿宋"/>
          <w:sz w:val="32"/>
          <w:szCs w:val="32"/>
        </w:rPr>
        <w:t>结案的民事执行案件卷宗，</w:t>
      </w:r>
      <w:r>
        <w:rPr>
          <w:rFonts w:hint="eastAsia" w:ascii="仿宋" w:hAnsi="仿宋" w:eastAsia="仿宋" w:cs="仿宋"/>
          <w:sz w:val="32"/>
          <w:szCs w:val="32"/>
        </w:rPr>
        <w:t>并</w:t>
      </w:r>
      <w:r>
        <w:rPr>
          <w:rFonts w:hint="eastAsia" w:ascii="仿宋" w:hAnsi="仿宋" w:eastAsia="仿宋" w:cs="仿宋"/>
          <w:sz w:val="32"/>
          <w:szCs w:val="32"/>
        </w:rPr>
        <w:t xml:space="preserve">制发改进工作类检察建议1份。现场监督通铁法院民事庭审活动，解决民事检察“三低两少”问题。 </w:t>
      </w:r>
    </w:p>
    <w:p>
      <w:pPr>
        <w:pStyle w:val="3"/>
        <w:keepNext w:val="0"/>
        <w:keepLines w:val="0"/>
        <w:pageBreakBefore w:val="0"/>
        <w:widowControl/>
        <w:kinsoku/>
        <w:wordWrap/>
        <w:overflowPunct/>
        <w:topLinePunct w:val="0"/>
        <w:autoSpaceDE/>
        <w:autoSpaceDN/>
        <w:bidi w:val="0"/>
        <w:spacing w:before="299" w:after="299"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二、收入支出预算执行情况分析</w:t>
      </w:r>
    </w:p>
    <w:p>
      <w:pPr>
        <w:pStyle w:val="4"/>
        <w:keepNext w:val="0"/>
        <w:keepLines w:val="0"/>
        <w:pageBreakBefore w:val="0"/>
        <w:widowControl/>
        <w:kinsoku/>
        <w:wordWrap/>
        <w:overflowPunct/>
        <w:topLinePunct w:val="0"/>
        <w:autoSpaceDE/>
        <w:autoSpaceDN/>
        <w:bidi w:val="0"/>
        <w:spacing w:before="281" w:after="281" w:line="560" w:lineRule="exact"/>
        <w:ind w:firstLine="643" w:firstLineChars="200"/>
        <w:jc w:val="left"/>
        <w:textAlignment w:val="auto"/>
        <w:rPr>
          <w:rFonts w:hint="eastAsia" w:ascii="仿宋" w:hAnsi="仿宋" w:eastAsia="仿宋" w:cs="仿宋"/>
          <w:b/>
          <w:bCs/>
          <w:color w:val="auto"/>
          <w:kern w:val="0"/>
          <w:sz w:val="32"/>
          <w:szCs w:val="32"/>
        </w:rPr>
      </w:pPr>
      <w:r>
        <w:rPr>
          <w:rFonts w:hint="eastAsia" w:ascii="仿宋" w:hAnsi="仿宋" w:eastAsia="仿宋" w:cs="仿宋"/>
          <w:b/>
          <w:bCs/>
          <w:color w:val="auto"/>
          <w:kern w:val="0"/>
          <w:sz w:val="32"/>
          <w:szCs w:val="32"/>
        </w:rPr>
        <w:t xml:space="preserve">      </w:t>
      </w:r>
      <w:r>
        <w:rPr>
          <w:rFonts w:hint="eastAsia" w:ascii="仿宋" w:hAnsi="仿宋" w:eastAsia="仿宋" w:cs="仿宋"/>
          <w:b/>
          <w:bCs/>
          <w:color w:val="auto"/>
          <w:kern w:val="0"/>
          <w:sz w:val="32"/>
          <w:szCs w:val="32"/>
        </w:rPr>
        <w:t>（一）收入支出预算安排情况</w:t>
      </w:r>
    </w:p>
    <w:p>
      <w:pPr>
        <w:rPr>
          <w:rFonts w:hint="eastAsia" w:eastAsiaTheme="minorEastAsia"/>
          <w:lang w:eastAsia="zh-CN"/>
        </w:rPr>
      </w:pPr>
      <w:r>
        <w:rPr>
          <w:rFonts w:hint="eastAsia" w:eastAsiaTheme="minorEastAsia"/>
          <w:lang w:eastAsia="zh-CN"/>
        </w:rPr>
        <w:drawing>
          <wp:inline distT="0" distB="0" distL="114300" distR="114300">
            <wp:extent cx="5271770" cy="3073400"/>
            <wp:effectExtent l="0" t="0" r="5080" b="1270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
                    <a:stretch>
                      <a:fillRect/>
                    </a:stretch>
                  </pic:blipFill>
                  <pic:spPr>
                    <a:xfrm>
                      <a:off x="0" y="0"/>
                      <a:ext cx="5271770" cy="3073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一般公共预算财政拨款年初预算2023年较上年增加32.07万元，整体变动幅度较小，变动主要原因为上年中央政法转移支付资金未列入年初预算，其次为本年度增加在职人员导致社会保障和就业支出增加。</w:t>
      </w:r>
    </w:p>
    <w:p>
      <w:pPr>
        <w:keepNext w:val="0"/>
        <w:keepLines w:val="0"/>
        <w:pageBreakBefore w:val="0"/>
        <w:widowControl/>
        <w:kinsoku/>
        <w:wordWrap/>
        <w:overflowPunct/>
        <w:topLinePunct w:val="0"/>
        <w:autoSpaceDE/>
        <w:autoSpaceDN/>
        <w:bidi w:val="0"/>
        <w:spacing w:before="240" w:after="240" w:line="240" w:lineRule="auto"/>
        <w:ind w:firstLine="640" w:firstLineChars="200"/>
        <w:jc w:val="left"/>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drawing>
          <wp:inline distT="0" distB="0" distL="114300" distR="114300">
            <wp:extent cx="4733925" cy="3088640"/>
            <wp:effectExtent l="0" t="0" r="9525" b="1651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6"/>
                    <a:stretch>
                      <a:fillRect/>
                    </a:stretch>
                  </pic:blipFill>
                  <pic:spPr>
                    <a:xfrm>
                      <a:off x="0" y="0"/>
                      <a:ext cx="4733925" cy="30886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本年度单位支出较上年有所减少，除正常范围内的支出变动外，主要是由于本年度基本建设支出下降导致的支出减少。一般公共预算财政拨款收入收入年初预算数为：</w:t>
      </w:r>
      <w:r>
        <w:rPr>
          <w:rFonts w:hint="eastAsia" w:ascii="仿宋" w:hAnsi="仿宋" w:eastAsia="仿宋" w:cs="仿宋"/>
          <w:kern w:val="0"/>
          <w:sz w:val="32"/>
          <w:szCs w:val="32"/>
        </w:rPr>
        <w:t>841.26</w:t>
      </w:r>
      <w:r>
        <w:rPr>
          <w:rFonts w:hint="eastAsia" w:ascii="仿宋" w:hAnsi="仿宋" w:eastAsia="仿宋" w:cs="仿宋"/>
          <w:kern w:val="0"/>
          <w:sz w:val="32"/>
          <w:szCs w:val="32"/>
        </w:rPr>
        <w:t>万元，一般公共预算财政拨款收入决算数为：</w:t>
      </w:r>
      <w:r>
        <w:rPr>
          <w:rFonts w:hint="eastAsia" w:ascii="仿宋" w:hAnsi="仿宋" w:eastAsia="仿宋" w:cs="仿宋"/>
          <w:kern w:val="0"/>
          <w:sz w:val="32"/>
          <w:szCs w:val="32"/>
        </w:rPr>
        <w:t>843.48</w:t>
      </w:r>
      <w:r>
        <w:rPr>
          <w:rFonts w:hint="eastAsia" w:ascii="仿宋" w:hAnsi="仿宋" w:eastAsia="仿宋" w:cs="仿宋"/>
          <w:kern w:val="0"/>
          <w:sz w:val="32"/>
          <w:szCs w:val="32"/>
        </w:rPr>
        <w:t>万元，基本支出年初预算数为：</w:t>
      </w:r>
      <w:r>
        <w:rPr>
          <w:rFonts w:hint="eastAsia" w:ascii="仿宋" w:hAnsi="仿宋" w:eastAsia="仿宋" w:cs="仿宋"/>
          <w:kern w:val="0"/>
          <w:sz w:val="32"/>
          <w:szCs w:val="32"/>
        </w:rPr>
        <w:t>624.26</w:t>
      </w:r>
      <w:r>
        <w:rPr>
          <w:rFonts w:hint="eastAsia" w:ascii="仿宋" w:hAnsi="仿宋" w:eastAsia="仿宋" w:cs="仿宋"/>
          <w:kern w:val="0"/>
          <w:sz w:val="32"/>
          <w:szCs w:val="32"/>
        </w:rPr>
        <w:t>万元，基本支出决算数为：</w:t>
      </w:r>
      <w:r>
        <w:rPr>
          <w:rFonts w:hint="eastAsia" w:ascii="仿宋" w:hAnsi="仿宋" w:eastAsia="仿宋" w:cs="仿宋"/>
          <w:kern w:val="0"/>
          <w:sz w:val="32"/>
          <w:szCs w:val="32"/>
        </w:rPr>
        <w:t>643.59</w:t>
      </w:r>
      <w:r>
        <w:rPr>
          <w:rFonts w:hint="eastAsia" w:ascii="仿宋" w:hAnsi="仿宋" w:eastAsia="仿宋" w:cs="仿宋"/>
          <w:kern w:val="0"/>
          <w:sz w:val="32"/>
          <w:szCs w:val="32"/>
        </w:rPr>
        <w:t>万元，政府性基金预算财政拨款收入年初预算数为：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万元，政府性基金预算财政拨款收入决算数为：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万元，本年收入合计年初预算数为：</w:t>
      </w:r>
      <w:r>
        <w:rPr>
          <w:rFonts w:hint="eastAsia" w:ascii="仿宋" w:hAnsi="仿宋" w:eastAsia="仿宋" w:cs="仿宋"/>
          <w:kern w:val="0"/>
          <w:sz w:val="32"/>
          <w:szCs w:val="32"/>
        </w:rPr>
        <w:t>841.26</w:t>
      </w:r>
      <w:r>
        <w:rPr>
          <w:rFonts w:hint="eastAsia" w:ascii="仿宋" w:hAnsi="仿宋" w:eastAsia="仿宋" w:cs="仿宋"/>
          <w:kern w:val="0"/>
          <w:sz w:val="32"/>
          <w:szCs w:val="32"/>
        </w:rPr>
        <w:t>万元，本年收入合计决算数为：</w:t>
      </w:r>
      <w:r>
        <w:rPr>
          <w:rFonts w:hint="eastAsia" w:ascii="仿宋" w:hAnsi="仿宋" w:eastAsia="仿宋" w:cs="仿宋"/>
          <w:kern w:val="0"/>
          <w:sz w:val="32"/>
          <w:szCs w:val="32"/>
        </w:rPr>
        <w:t>844.69</w:t>
      </w:r>
      <w:r>
        <w:rPr>
          <w:rFonts w:hint="eastAsia" w:ascii="仿宋" w:hAnsi="仿宋" w:eastAsia="仿宋" w:cs="仿宋"/>
          <w:kern w:val="0"/>
          <w:sz w:val="32"/>
          <w:szCs w:val="32"/>
        </w:rPr>
        <w:t>万元，本年支出合计年初预算数为：</w:t>
      </w:r>
      <w:r>
        <w:rPr>
          <w:rFonts w:hint="eastAsia" w:ascii="仿宋" w:hAnsi="仿宋" w:eastAsia="仿宋" w:cs="仿宋"/>
          <w:kern w:val="0"/>
          <w:sz w:val="32"/>
          <w:szCs w:val="32"/>
        </w:rPr>
        <w:t>852.67</w:t>
      </w:r>
      <w:r>
        <w:rPr>
          <w:rFonts w:hint="eastAsia" w:ascii="仿宋" w:hAnsi="仿宋" w:eastAsia="仿宋" w:cs="仿宋"/>
          <w:kern w:val="0"/>
          <w:sz w:val="32"/>
          <w:szCs w:val="32"/>
        </w:rPr>
        <w:t>万元，本年支出合计决算数为：</w:t>
      </w:r>
      <w:r>
        <w:rPr>
          <w:rFonts w:hint="eastAsia" w:ascii="仿宋" w:hAnsi="仿宋" w:eastAsia="仿宋" w:cs="仿宋"/>
          <w:kern w:val="0"/>
          <w:sz w:val="32"/>
          <w:szCs w:val="32"/>
        </w:rPr>
        <w:t>955.77</w:t>
      </w:r>
      <w:r>
        <w:rPr>
          <w:rFonts w:hint="eastAsia" w:ascii="仿宋" w:hAnsi="仿宋" w:eastAsia="仿宋" w:cs="仿宋"/>
          <w:kern w:val="0"/>
          <w:sz w:val="32"/>
          <w:szCs w:val="32"/>
        </w:rPr>
        <w:t>万元，年末结转和结余决算数为：</w:t>
      </w:r>
      <w:r>
        <w:rPr>
          <w:rFonts w:hint="eastAsia" w:ascii="仿宋" w:hAnsi="仿宋" w:eastAsia="仿宋" w:cs="仿宋"/>
          <w:kern w:val="0"/>
          <w:sz w:val="32"/>
          <w:szCs w:val="32"/>
        </w:rPr>
        <w:t>115.90</w:t>
      </w:r>
      <w:r>
        <w:rPr>
          <w:rFonts w:hint="eastAsia" w:ascii="仿宋" w:hAnsi="仿宋" w:eastAsia="仿宋" w:cs="仿宋"/>
          <w:kern w:val="0"/>
          <w:sz w:val="32"/>
          <w:szCs w:val="32"/>
        </w:rPr>
        <w:t>万元。</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一般公共服务支出决算数为：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万元，外交支出决算数为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，国防支出决算数为：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万元，公共安全支出决算数为</w:t>
      </w:r>
      <w:r>
        <w:rPr>
          <w:rFonts w:hint="eastAsia" w:ascii="仿宋" w:hAnsi="仿宋" w:eastAsia="仿宋" w:cs="仿宋"/>
          <w:kern w:val="0"/>
          <w:sz w:val="32"/>
          <w:szCs w:val="32"/>
        </w:rPr>
        <w:t>706.25</w:t>
      </w:r>
      <w:r>
        <w:rPr>
          <w:rFonts w:hint="eastAsia" w:ascii="仿宋" w:hAnsi="仿宋" w:eastAsia="仿宋" w:cs="仿宋"/>
          <w:kern w:val="0"/>
          <w:sz w:val="32"/>
          <w:szCs w:val="32"/>
        </w:rPr>
        <w:t>万元，教育支出决算数为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万元，科学技术支出决算数为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万元，文化旅游体育与传媒支出决算数为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万元，社会保障和就业支出决算数为</w:t>
      </w:r>
      <w:r>
        <w:rPr>
          <w:rFonts w:hint="eastAsia" w:ascii="仿宋" w:hAnsi="仿宋" w:eastAsia="仿宋" w:cs="仿宋"/>
          <w:kern w:val="0"/>
          <w:sz w:val="32"/>
          <w:szCs w:val="32"/>
        </w:rPr>
        <w:t>70.16</w:t>
      </w:r>
      <w:r>
        <w:rPr>
          <w:rFonts w:hint="eastAsia" w:ascii="仿宋" w:hAnsi="仿宋" w:eastAsia="仿宋" w:cs="仿宋"/>
          <w:kern w:val="0"/>
          <w:sz w:val="32"/>
          <w:szCs w:val="32"/>
        </w:rPr>
        <w:t>万元，卫生健康支出决算数为</w:t>
      </w:r>
      <w:r>
        <w:rPr>
          <w:rFonts w:hint="eastAsia" w:ascii="仿宋" w:hAnsi="仿宋" w:eastAsia="仿宋" w:cs="仿宋"/>
          <w:kern w:val="0"/>
          <w:sz w:val="32"/>
          <w:szCs w:val="32"/>
        </w:rPr>
        <w:t xml:space="preserve"> 26.51</w:t>
      </w:r>
      <w:r>
        <w:rPr>
          <w:rFonts w:hint="eastAsia" w:ascii="仿宋" w:hAnsi="仿宋" w:eastAsia="仿宋" w:cs="仿宋"/>
          <w:kern w:val="0"/>
          <w:sz w:val="32"/>
          <w:szCs w:val="32"/>
        </w:rPr>
        <w:t>万元，节能环保支出决算数为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万元，城乡社区支出决算数为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万元，农林水支出决算数为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万元，交通运输支出决算数为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万元，资源勘探工业信息等支出决算数为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万元，商业服务业等支出决算数为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万元，金融支出决算数为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万元，援助其他地区支出决算数为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万元，自然资源海洋气象等支出决算数为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万元，住房保障支出决算数为</w:t>
      </w:r>
      <w:r>
        <w:rPr>
          <w:rFonts w:hint="eastAsia" w:ascii="仿宋" w:hAnsi="仿宋" w:eastAsia="仿宋" w:cs="仿宋"/>
          <w:kern w:val="0"/>
          <w:sz w:val="32"/>
          <w:szCs w:val="32"/>
        </w:rPr>
        <w:t>42.84</w:t>
      </w:r>
      <w:r>
        <w:rPr>
          <w:rFonts w:hint="eastAsia" w:ascii="仿宋" w:hAnsi="仿宋" w:eastAsia="仿宋" w:cs="仿宋"/>
          <w:kern w:val="0"/>
          <w:sz w:val="32"/>
          <w:szCs w:val="32"/>
        </w:rPr>
        <w:t>万元，粮油物资储备支出决算数为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万元，国有资本经营预算支出决算数为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万元，灾害防治及应急管理支出决算数为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万元，其他支出决算数为</w:t>
      </w:r>
      <w:r>
        <w:rPr>
          <w:rFonts w:hint="eastAsia" w:ascii="仿宋" w:hAnsi="仿宋" w:eastAsia="仿宋" w:cs="仿宋"/>
          <w:kern w:val="0"/>
          <w:sz w:val="32"/>
          <w:szCs w:val="32"/>
        </w:rPr>
        <w:t xml:space="preserve"> 110.00</w:t>
      </w:r>
      <w:r>
        <w:rPr>
          <w:rFonts w:hint="eastAsia" w:ascii="仿宋" w:hAnsi="仿宋" w:eastAsia="仿宋" w:cs="仿宋"/>
          <w:kern w:val="0"/>
          <w:sz w:val="32"/>
          <w:szCs w:val="32"/>
        </w:rPr>
        <w:t>万元，债务还本支出决算数为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万元，债务付息支出决算数为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万元，抗疫特别国债安排的支出决算数为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万元，基本支出决算数为</w:t>
      </w:r>
      <w:r>
        <w:rPr>
          <w:rFonts w:hint="eastAsia" w:ascii="仿宋" w:hAnsi="仿宋" w:eastAsia="仿宋" w:cs="仿宋"/>
          <w:kern w:val="0"/>
          <w:sz w:val="32"/>
          <w:szCs w:val="32"/>
        </w:rPr>
        <w:t xml:space="preserve"> 643.59</w:t>
      </w:r>
      <w:r>
        <w:rPr>
          <w:rFonts w:hint="eastAsia" w:ascii="仿宋" w:hAnsi="仿宋" w:eastAsia="仿宋" w:cs="仿宋"/>
          <w:kern w:val="0"/>
          <w:sz w:val="32"/>
          <w:szCs w:val="32"/>
        </w:rPr>
        <w:t>万元，人员经费支出决算数为</w:t>
      </w:r>
      <w:r>
        <w:rPr>
          <w:rFonts w:hint="eastAsia" w:ascii="仿宋" w:hAnsi="仿宋" w:eastAsia="仿宋" w:cs="仿宋"/>
          <w:kern w:val="0"/>
          <w:sz w:val="32"/>
          <w:szCs w:val="32"/>
        </w:rPr>
        <w:t xml:space="preserve"> 552.84</w:t>
      </w:r>
      <w:r>
        <w:rPr>
          <w:rFonts w:hint="eastAsia" w:ascii="仿宋" w:hAnsi="仿宋" w:eastAsia="仿宋" w:cs="仿宋"/>
          <w:kern w:val="0"/>
          <w:sz w:val="32"/>
          <w:szCs w:val="32"/>
        </w:rPr>
        <w:t>万元，公用经费支出决算数为</w:t>
      </w:r>
      <w:r>
        <w:rPr>
          <w:rFonts w:hint="eastAsia" w:ascii="仿宋" w:hAnsi="仿宋" w:eastAsia="仿宋" w:cs="仿宋"/>
          <w:kern w:val="0"/>
          <w:sz w:val="32"/>
          <w:szCs w:val="32"/>
        </w:rPr>
        <w:t>90.75</w:t>
      </w:r>
      <w:r>
        <w:rPr>
          <w:rFonts w:hint="eastAsia" w:ascii="仿宋" w:hAnsi="仿宋" w:eastAsia="仿宋" w:cs="仿宋"/>
          <w:kern w:val="0"/>
          <w:sz w:val="32"/>
          <w:szCs w:val="32"/>
        </w:rPr>
        <w:t>万元，项目支出决算数为</w:t>
      </w:r>
      <w:r>
        <w:rPr>
          <w:rFonts w:hint="eastAsia" w:ascii="仿宋" w:hAnsi="仿宋" w:eastAsia="仿宋" w:cs="仿宋"/>
          <w:kern w:val="0"/>
          <w:sz w:val="32"/>
          <w:szCs w:val="32"/>
        </w:rPr>
        <w:t>312.18</w:t>
      </w:r>
      <w:r>
        <w:rPr>
          <w:rFonts w:hint="eastAsia" w:ascii="仿宋" w:hAnsi="仿宋" w:eastAsia="仿宋" w:cs="仿宋"/>
          <w:kern w:val="0"/>
          <w:sz w:val="32"/>
          <w:szCs w:val="32"/>
        </w:rPr>
        <w:t>万元，其中：基本建设类项目支出决算数为</w:t>
      </w:r>
      <w:r>
        <w:rPr>
          <w:rFonts w:hint="eastAsia" w:ascii="仿宋" w:hAnsi="仿宋" w:eastAsia="仿宋" w:cs="仿宋"/>
          <w:kern w:val="0"/>
          <w:sz w:val="32"/>
          <w:szCs w:val="32"/>
        </w:rPr>
        <w:t xml:space="preserve"> 110.00</w:t>
      </w:r>
      <w:r>
        <w:rPr>
          <w:rFonts w:hint="eastAsia" w:ascii="仿宋" w:hAnsi="仿宋" w:eastAsia="仿宋" w:cs="仿宋"/>
          <w:kern w:val="0"/>
          <w:sz w:val="32"/>
          <w:szCs w:val="32"/>
        </w:rPr>
        <w:t>万元，上缴上级支出决算数为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万元，经营支出决算数为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万元，对附属单位补助支出决算数为</w:t>
      </w:r>
      <w:r>
        <w:rPr>
          <w:rFonts w:hint="eastAsia" w:ascii="仿宋" w:hAnsi="仿宋" w:eastAsia="仿宋" w:cs="仿宋"/>
          <w:kern w:val="0"/>
          <w:sz w:val="32"/>
          <w:szCs w:val="32"/>
        </w:rPr>
        <w:t>0</w:t>
      </w:r>
      <w:r>
        <w:rPr>
          <w:rFonts w:hint="eastAsia" w:ascii="仿宋" w:hAnsi="仿宋" w:eastAsia="仿宋" w:cs="仿宋"/>
          <w:kern w:val="0"/>
          <w:sz w:val="32"/>
          <w:szCs w:val="32"/>
        </w:rPr>
        <w:t xml:space="preserve"> </w:t>
      </w:r>
      <w:r>
        <w:rPr>
          <w:rFonts w:hint="eastAsia" w:ascii="仿宋" w:hAnsi="仿宋" w:eastAsia="仿宋" w:cs="仿宋"/>
          <w:kern w:val="0"/>
          <w:sz w:val="32"/>
          <w:szCs w:val="32"/>
        </w:rPr>
        <w:t>万元。</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（二）收入支出预算执行情况</w:t>
      </w:r>
    </w:p>
    <w:p>
      <w:pPr>
        <w:keepNext w:val="0"/>
        <w:keepLines w:val="0"/>
        <w:pageBreakBefore w:val="0"/>
        <w:widowControl/>
        <w:kinsoku/>
        <w:wordWrap/>
        <w:overflowPunct/>
        <w:topLinePunct w:val="0"/>
        <w:autoSpaceDE/>
        <w:autoSpaceDN/>
        <w:bidi w:val="0"/>
        <w:spacing w:before="240" w:after="240"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1</w:t>
      </w:r>
      <w:r>
        <w:rPr>
          <w:rFonts w:hint="eastAsia" w:ascii="仿宋" w:hAnsi="仿宋" w:eastAsia="仿宋" w:cs="仿宋"/>
          <w:b/>
          <w:bCs/>
          <w:kern w:val="0"/>
          <w:sz w:val="32"/>
          <w:szCs w:val="32"/>
        </w:rPr>
        <w:t>．收入支出与预算对比分析</w:t>
      </w:r>
    </w:p>
    <w:p>
      <w:pPr>
        <w:keepNext w:val="0"/>
        <w:keepLines w:val="0"/>
        <w:pageBreakBefore w:val="0"/>
        <w:widowControl/>
        <w:kinsoku/>
        <w:wordWrap/>
        <w:overflowPunct/>
        <w:topLinePunct w:val="0"/>
        <w:autoSpaceDE/>
        <w:autoSpaceDN/>
        <w:bidi w:val="0"/>
        <w:spacing w:before="240" w:after="240" w:line="56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kern w:val="0"/>
          <w:sz w:val="32"/>
          <w:szCs w:val="32"/>
          <w:lang w:eastAsia="zh-CN"/>
        </w:rPr>
        <w:t>（</w:t>
      </w:r>
      <w:r>
        <w:rPr>
          <w:rFonts w:hint="eastAsia" w:ascii="仿宋" w:hAnsi="仿宋" w:eastAsia="仿宋" w:cs="仿宋"/>
          <w:b/>
          <w:bCs/>
          <w:kern w:val="0"/>
          <w:sz w:val="32"/>
          <w:szCs w:val="32"/>
          <w:lang w:val="en-US" w:eastAsia="zh-CN"/>
        </w:rPr>
        <w:t>1</w:t>
      </w:r>
      <w:r>
        <w:rPr>
          <w:rFonts w:hint="eastAsia" w:ascii="仿宋" w:hAnsi="仿宋" w:eastAsia="仿宋" w:cs="仿宋"/>
          <w:b/>
          <w:bCs/>
          <w:kern w:val="0"/>
          <w:sz w:val="32"/>
          <w:szCs w:val="32"/>
          <w:lang w:eastAsia="zh-CN"/>
        </w:rPr>
        <w:t>）</w:t>
      </w:r>
      <w:r>
        <w:rPr>
          <w:rFonts w:hint="eastAsia" w:ascii="仿宋" w:hAnsi="仿宋" w:eastAsia="仿宋" w:cs="仿宋"/>
          <w:sz w:val="32"/>
          <w:szCs w:val="32"/>
        </w:rPr>
        <w:t>预、决算差异情况</w:t>
      </w:r>
      <w:r>
        <w:rPr>
          <w:rFonts w:hint="eastAsia" w:ascii="仿宋" w:hAnsi="仿宋" w:eastAsia="仿宋" w:cs="仿宋"/>
          <w:sz w:val="32"/>
          <w:szCs w:val="32"/>
        </w:rPr>
        <w:t>。</w:t>
      </w:r>
    </w:p>
    <w:tbl>
      <w:tblPr>
        <w:tblStyle w:val="9"/>
        <w:tblW w:w="5261" w:type="pct"/>
        <w:tblInd w:w="0" w:type="dxa"/>
        <w:tblLayout w:type="fixed"/>
        <w:tblCellMar>
          <w:top w:w="0" w:type="dxa"/>
          <w:left w:w="108" w:type="dxa"/>
          <w:bottom w:w="0" w:type="dxa"/>
          <w:right w:w="108" w:type="dxa"/>
        </w:tblCellMar>
      </w:tblPr>
      <w:tblGrid>
        <w:gridCol w:w="3518"/>
        <w:gridCol w:w="1875"/>
        <w:gridCol w:w="1937"/>
        <w:gridCol w:w="1638"/>
      </w:tblGrid>
      <w:tr>
        <w:tblPrEx>
          <w:tblCellMar>
            <w:top w:w="0" w:type="dxa"/>
            <w:left w:w="108" w:type="dxa"/>
            <w:bottom w:w="0" w:type="dxa"/>
            <w:right w:w="108" w:type="dxa"/>
          </w:tblCellMar>
        </w:tblPrEx>
        <w:trPr>
          <w:trHeight w:val="272" w:hRule="atLeast"/>
        </w:trPr>
        <w:tc>
          <w:tcPr>
            <w:tcW w:w="1961" w:type="pct"/>
            <w:tcBorders>
              <w:top w:val="single" w:color="auto" w:sz="4" w:space="0"/>
              <w:left w:val="single" w:color="auto" w:sz="4" w:space="0"/>
              <w:bottom w:val="single" w:color="auto" w:sz="4" w:space="0"/>
              <w:right w:val="single" w:color="auto" w:sz="4" w:space="0"/>
            </w:tcBorders>
            <w:shd w:val="clear" w:color="000000" w:fill="FFC000"/>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功能分类</w:t>
            </w:r>
          </w:p>
        </w:tc>
        <w:tc>
          <w:tcPr>
            <w:tcW w:w="1045"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预算</w:t>
            </w:r>
          </w:p>
        </w:tc>
        <w:tc>
          <w:tcPr>
            <w:tcW w:w="1079"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决算</w:t>
            </w:r>
          </w:p>
        </w:tc>
        <w:tc>
          <w:tcPr>
            <w:tcW w:w="913"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kinsoku/>
              <w:wordWrap/>
              <w:overflowPunct/>
              <w:topLinePunct w:val="0"/>
              <w:autoSpaceDE/>
              <w:autoSpaceDN/>
              <w:bidi w:val="0"/>
              <w:spacing w:line="560" w:lineRule="exact"/>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差异</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行政运行</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4200336.19</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4278376.04</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-78039.85</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一般行政管理事务</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3064103.42</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2761262.61</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302840.81</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行政单位离退休</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159549.6</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163409.6</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-3860</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机关事业单位基本养老保险缴费支出</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324639.68</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376709.12</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-52069.44</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机关事业单位职业年金缴费支出</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162319.84</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161482.08</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837.76</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行政单位医疗</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137510.66</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137510.66</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0</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公务员医疗补助</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137407.66</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127612.92</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9794.74</w:t>
            </w:r>
          </w:p>
        </w:tc>
      </w:tr>
      <w:tr>
        <w:tblPrEx>
          <w:tblCellMar>
            <w:top w:w="0" w:type="dxa"/>
            <w:left w:w="108" w:type="dxa"/>
            <w:bottom w:w="0" w:type="dxa"/>
            <w:right w:w="108" w:type="dxa"/>
          </w:tblCellMar>
        </w:tblPrEx>
        <w:trPr>
          <w:trHeight w:val="272" w:hRule="atLeast"/>
        </w:trPr>
        <w:tc>
          <w:tcPr>
            <w:tcW w:w="1961"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住房公积金</w:t>
            </w:r>
          </w:p>
        </w:tc>
        <w:tc>
          <w:tcPr>
            <w:tcW w:w="1045"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340850.88</w:t>
            </w:r>
          </w:p>
        </w:tc>
        <w:tc>
          <w:tcPr>
            <w:tcW w:w="1079"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428390.76</w:t>
            </w:r>
          </w:p>
        </w:tc>
        <w:tc>
          <w:tcPr>
            <w:tcW w:w="913" w:type="pct"/>
            <w:tcBorders>
              <w:top w:val="nil"/>
              <w:left w:val="nil"/>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sz w:val="20"/>
                <w:szCs w:val="20"/>
              </w:rPr>
            </w:pPr>
            <w:r>
              <w:rPr>
                <w:rFonts w:hint="eastAsia" w:ascii="宋体" w:hAnsi="宋体" w:eastAsia="宋体" w:cs="宋体"/>
                <w:color w:val="000000"/>
                <w:sz w:val="20"/>
                <w:szCs w:val="20"/>
              </w:rPr>
              <w:t>-87539.88</w:t>
            </w:r>
          </w:p>
        </w:tc>
      </w:tr>
    </w:tbl>
    <w:p>
      <w:pPr>
        <w:pStyle w:val="15"/>
        <w:keepNext w:val="0"/>
        <w:keepLines w:val="0"/>
        <w:pageBreakBefore w:val="0"/>
        <w:numPr>
          <w:numId w:val="0"/>
        </w:numPr>
        <w:kinsoku/>
        <w:wordWrap/>
        <w:overflowPunct/>
        <w:topLinePunct w:val="0"/>
        <w:autoSpaceDE/>
        <w:autoSpaceDN/>
        <w:bidi w:val="0"/>
        <w:spacing w:before="240" w:after="240" w:line="560" w:lineRule="exact"/>
        <w:ind w:left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差异原因分析。</w:t>
      </w:r>
    </w:p>
    <w:p>
      <w:pPr>
        <w:keepNext w:val="0"/>
        <w:keepLines w:val="0"/>
        <w:pageBreakBefore w:val="0"/>
        <w:widowControl w:val="0"/>
        <w:kinsoku/>
        <w:wordWrap/>
        <w:overflowPunct/>
        <w:topLinePunct w:val="0"/>
        <w:autoSpaceDE/>
        <w:autoSpaceDN/>
        <w:bidi w:val="0"/>
        <w:adjustRightInd/>
        <w:snapToGrid/>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sz w:val="32"/>
          <w:szCs w:val="32"/>
        </w:rPr>
        <w:t>行政运行决算较年初预算增加78039.85元，主要原因为本年财政拨款支出人员增加两人次，本年追加工资津补贴、奖金预算共117000元，部分预算调剂至基本养老保险缴费支出53000元、住房公积金88000元，且部分预算未支出。一般行政管理事务2023年决算较年初预算减少302840.81元，发生差异的主要原因为2023年编制外聘用人员数目减少一人次，办案业务经费盘活收回91010元，且年终部分资金未支付，包括：差旅费</w:t>
      </w:r>
      <w:r>
        <w:rPr>
          <w:rFonts w:hint="eastAsia" w:ascii="仿宋" w:hAnsi="仿宋" w:eastAsia="仿宋" w:cs="仿宋"/>
          <w:sz w:val="32"/>
          <w:szCs w:val="32"/>
        </w:rPr>
        <w:t>6271.57</w:t>
      </w:r>
      <w:r>
        <w:rPr>
          <w:rFonts w:hint="eastAsia" w:ascii="仿宋" w:hAnsi="仿宋" w:eastAsia="仿宋" w:cs="仿宋"/>
          <w:sz w:val="32"/>
          <w:szCs w:val="32"/>
        </w:rPr>
        <w:t>元，其他工资福利</w:t>
      </w:r>
      <w:r>
        <w:rPr>
          <w:rFonts w:hint="eastAsia" w:ascii="仿宋" w:hAnsi="仿宋" w:eastAsia="仿宋" w:cs="仿宋"/>
          <w:sz w:val="32"/>
          <w:szCs w:val="32"/>
        </w:rPr>
        <w:t>40540.69</w:t>
      </w:r>
      <w:r>
        <w:rPr>
          <w:rFonts w:hint="eastAsia" w:ascii="仿宋" w:hAnsi="仿宋" w:eastAsia="仿宋" w:cs="仿宋"/>
          <w:sz w:val="32"/>
          <w:szCs w:val="32"/>
        </w:rPr>
        <w:t>元，维修（护）费1250元，差旅费</w:t>
      </w:r>
      <w:r>
        <w:rPr>
          <w:rFonts w:hint="eastAsia" w:ascii="仿宋" w:hAnsi="仿宋" w:eastAsia="仿宋" w:cs="仿宋"/>
          <w:sz w:val="32"/>
          <w:szCs w:val="32"/>
        </w:rPr>
        <w:t>24000</w:t>
      </w:r>
      <w:r>
        <w:rPr>
          <w:rFonts w:hint="eastAsia" w:ascii="仿宋" w:hAnsi="仿宋" w:eastAsia="仿宋" w:cs="仿宋"/>
          <w:sz w:val="32"/>
          <w:szCs w:val="32"/>
        </w:rPr>
        <w:t>元，取暖费</w:t>
      </w:r>
      <w:r>
        <w:rPr>
          <w:rFonts w:hint="eastAsia" w:ascii="仿宋" w:hAnsi="仿宋" w:eastAsia="仿宋" w:cs="仿宋"/>
          <w:sz w:val="32"/>
          <w:szCs w:val="32"/>
        </w:rPr>
        <w:t>6946.54</w:t>
      </w:r>
      <w:r>
        <w:rPr>
          <w:rFonts w:hint="eastAsia" w:ascii="仿宋" w:hAnsi="仿宋" w:eastAsia="仿宋" w:cs="仿宋"/>
          <w:sz w:val="32"/>
          <w:szCs w:val="32"/>
        </w:rPr>
        <w:t>元，办公设备购置</w:t>
      </w:r>
      <w:r>
        <w:rPr>
          <w:rFonts w:hint="eastAsia" w:ascii="仿宋" w:hAnsi="仿宋" w:eastAsia="仿宋" w:cs="仿宋"/>
          <w:sz w:val="32"/>
          <w:szCs w:val="32"/>
        </w:rPr>
        <w:t>39100</w:t>
      </w:r>
      <w:r>
        <w:rPr>
          <w:rFonts w:hint="eastAsia" w:ascii="仿宋" w:hAnsi="仿宋" w:eastAsia="仿宋" w:cs="仿宋"/>
          <w:sz w:val="32"/>
          <w:szCs w:val="32"/>
        </w:rPr>
        <w:t>元，公务用车运行维护费</w:t>
      </w:r>
      <w:r>
        <w:rPr>
          <w:rFonts w:hint="eastAsia" w:ascii="仿宋" w:hAnsi="仿宋" w:eastAsia="仿宋" w:cs="仿宋"/>
          <w:sz w:val="32"/>
          <w:szCs w:val="32"/>
        </w:rPr>
        <w:t>7005</w:t>
      </w:r>
      <w:r>
        <w:rPr>
          <w:rFonts w:hint="eastAsia" w:ascii="仿宋" w:hAnsi="仿宋" w:eastAsia="仿宋" w:cs="仿宋"/>
          <w:sz w:val="32"/>
          <w:szCs w:val="32"/>
        </w:rPr>
        <w:t>元，专用设备购置</w:t>
      </w:r>
      <w:r>
        <w:rPr>
          <w:rFonts w:hint="eastAsia" w:ascii="仿宋" w:hAnsi="仿宋" w:eastAsia="仿宋" w:cs="仿宋"/>
          <w:sz w:val="32"/>
          <w:szCs w:val="32"/>
        </w:rPr>
        <w:t>13000</w:t>
      </w:r>
      <w:r>
        <w:rPr>
          <w:rFonts w:hint="eastAsia" w:ascii="仿宋" w:hAnsi="仿宋" w:eastAsia="仿宋" w:cs="仿宋"/>
          <w:sz w:val="32"/>
          <w:szCs w:val="32"/>
        </w:rPr>
        <w:t>元。</w:t>
      </w:r>
    </w:p>
    <w:p>
      <w:pPr>
        <w:pStyle w:val="5"/>
        <w:keepNext w:val="0"/>
        <w:keepLines w:val="0"/>
        <w:pageBreakBefore w:val="0"/>
        <w:widowControl/>
        <w:numPr>
          <w:ilvl w:val="0"/>
          <w:numId w:val="3"/>
        </w:numPr>
        <w:kinsoku/>
        <w:wordWrap/>
        <w:overflowPunct/>
        <w:topLinePunct w:val="0"/>
        <w:autoSpaceDE/>
        <w:autoSpaceDN/>
        <w:bidi w:val="0"/>
        <w:adjustRightInd/>
        <w:snapToGrid/>
        <w:spacing w:before="319" w:after="319" w:line="560" w:lineRule="exact"/>
        <w:ind w:firstLine="643" w:firstLineChars="200"/>
        <w:jc w:val="left"/>
        <w:textAlignment w:val="auto"/>
        <w:rPr>
          <w:rFonts w:hint="eastAsia" w:ascii="仿宋" w:hAnsi="仿宋" w:eastAsia="仿宋" w:cs="仿宋"/>
          <w:b/>
          <w:bCs/>
          <w:i w:val="0"/>
          <w:iCs w:val="0"/>
          <w:color w:val="auto"/>
          <w:kern w:val="0"/>
          <w:sz w:val="32"/>
          <w:szCs w:val="32"/>
        </w:rPr>
      </w:pPr>
      <w:r>
        <w:rPr>
          <w:rFonts w:hint="eastAsia" w:ascii="仿宋" w:hAnsi="仿宋" w:eastAsia="仿宋" w:cs="仿宋"/>
          <w:b/>
          <w:bCs/>
          <w:i w:val="0"/>
          <w:iCs w:val="0"/>
          <w:color w:val="auto"/>
          <w:kern w:val="0"/>
          <w:sz w:val="32"/>
          <w:szCs w:val="32"/>
        </w:rPr>
        <w:t>收入支出结构分析。</w:t>
      </w:r>
    </w:p>
    <w:p>
      <w:pPr>
        <w:pStyle w:val="5"/>
        <w:keepNext w:val="0"/>
        <w:keepLines w:val="0"/>
        <w:pageBreakBefore w:val="0"/>
        <w:widowControl/>
        <w:numPr>
          <w:numId w:val="0"/>
        </w:numPr>
        <w:kinsoku/>
        <w:wordWrap/>
        <w:overflowPunct/>
        <w:topLinePunct w:val="0"/>
        <w:autoSpaceDE/>
        <w:autoSpaceDN/>
        <w:bidi w:val="0"/>
        <w:adjustRightInd/>
        <w:snapToGrid/>
        <w:spacing w:before="0" w:line="560" w:lineRule="exact"/>
        <w:ind w:firstLine="640" w:firstLineChars="200"/>
        <w:jc w:val="left"/>
        <w:textAlignment w:val="auto"/>
        <w:rPr>
          <w:rFonts w:hint="eastAsia" w:ascii="仿宋" w:hAnsi="仿宋" w:eastAsia="仿宋" w:cs="仿宋"/>
          <w:i w:val="0"/>
          <w:iCs w:val="0"/>
          <w:color w:val="auto"/>
          <w:sz w:val="32"/>
          <w:szCs w:val="32"/>
        </w:rPr>
      </w:pPr>
      <w:r>
        <w:rPr>
          <w:rFonts w:hint="eastAsia" w:ascii="仿宋" w:hAnsi="仿宋" w:eastAsia="仿宋" w:cs="仿宋"/>
          <w:i w:val="0"/>
          <w:iCs w:val="0"/>
          <w:color w:val="auto"/>
          <w:sz w:val="32"/>
          <w:szCs w:val="32"/>
          <w:lang w:eastAsia="zh-CN"/>
        </w:rPr>
        <w:t>（</w:t>
      </w:r>
      <w:r>
        <w:rPr>
          <w:rFonts w:hint="eastAsia" w:ascii="仿宋" w:hAnsi="仿宋" w:eastAsia="仿宋" w:cs="仿宋"/>
          <w:i w:val="0"/>
          <w:iCs w:val="0"/>
          <w:color w:val="auto"/>
          <w:sz w:val="32"/>
          <w:szCs w:val="32"/>
          <w:lang w:val="en-US" w:eastAsia="zh-CN"/>
        </w:rPr>
        <w:t>1</w:t>
      </w:r>
      <w:r>
        <w:rPr>
          <w:rFonts w:hint="eastAsia" w:ascii="仿宋" w:hAnsi="仿宋" w:eastAsia="仿宋" w:cs="仿宋"/>
          <w:i w:val="0"/>
          <w:iCs w:val="0"/>
          <w:color w:val="auto"/>
          <w:sz w:val="32"/>
          <w:szCs w:val="32"/>
          <w:lang w:eastAsia="zh-CN"/>
        </w:rPr>
        <w:t>）</w:t>
      </w:r>
      <w:r>
        <w:rPr>
          <w:rFonts w:hint="eastAsia" w:ascii="仿宋" w:hAnsi="仿宋" w:eastAsia="仿宋" w:cs="仿宋"/>
          <w:i w:val="0"/>
          <w:iCs w:val="0"/>
          <w:color w:val="auto"/>
          <w:sz w:val="32"/>
          <w:szCs w:val="32"/>
        </w:rPr>
        <w:t>各项收入占总收入的比重，各项支出占总支出的比重（可分别制作饼状图）。</w:t>
      </w:r>
    </w:p>
    <w:p>
      <w:pPr>
        <w:keepNext w:val="0"/>
        <w:keepLines w:val="0"/>
        <w:pageBreakBefore w:val="0"/>
        <w:kinsoku/>
        <w:wordWrap/>
        <w:overflowPunct/>
        <w:topLinePunct w:val="0"/>
        <w:autoSpaceDE/>
        <w:autoSpaceDN/>
        <w:bidi w:val="0"/>
        <w:spacing w:before="240" w:after="240" w:line="240" w:lineRule="auto"/>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drawing>
          <wp:inline distT="0" distB="0" distL="114300" distR="114300">
            <wp:extent cx="5270500" cy="3076575"/>
            <wp:effectExtent l="0" t="0" r="6350" b="952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7"/>
                    <a:stretch>
                      <a:fillRect/>
                    </a:stretch>
                  </pic:blipFill>
                  <pic:spPr>
                    <a:xfrm>
                      <a:off x="0" y="0"/>
                      <a:ext cx="5270500" cy="3076575"/>
                    </a:xfrm>
                    <a:prstGeom prst="rect">
                      <a:avLst/>
                    </a:prstGeom>
                  </pic:spPr>
                </pic:pic>
              </a:graphicData>
            </a:graphic>
          </wp:inline>
        </w:drawing>
      </w:r>
    </w:p>
    <w:p>
      <w:pPr>
        <w:keepNext w:val="0"/>
        <w:keepLines w:val="0"/>
        <w:pageBreakBefore w:val="0"/>
        <w:kinsoku/>
        <w:wordWrap/>
        <w:overflowPunct/>
        <w:topLinePunct w:val="0"/>
        <w:autoSpaceDE/>
        <w:autoSpaceDN/>
        <w:bidi w:val="0"/>
        <w:spacing w:before="240" w:after="240" w:line="240" w:lineRule="auto"/>
        <w:ind w:firstLine="640" w:firstLineChars="200"/>
        <w:jc w:val="center"/>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drawing>
          <wp:inline distT="0" distB="0" distL="114300" distR="114300">
            <wp:extent cx="5270500" cy="3076575"/>
            <wp:effectExtent l="0" t="0" r="6350" b="952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8"/>
                    <a:stretch>
                      <a:fillRect/>
                    </a:stretch>
                  </pic:blipFill>
                  <pic:spPr>
                    <a:xfrm>
                      <a:off x="0" y="0"/>
                      <a:ext cx="5270500" cy="3076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w:t>
      </w:r>
      <w:r>
        <w:rPr>
          <w:rFonts w:hint="eastAsia" w:ascii="仿宋" w:hAnsi="仿宋" w:eastAsia="仿宋" w:cs="仿宋"/>
          <w:sz w:val="32"/>
          <w:szCs w:val="32"/>
        </w:rPr>
        <w:t>收入支出与上年度对比情况及原因分析。</w:t>
      </w:r>
    </w:p>
    <w:p>
      <w:pPr>
        <w:keepNext w:val="0"/>
        <w:keepLines w:val="0"/>
        <w:pageBreakBefore w:val="0"/>
        <w:kinsoku/>
        <w:wordWrap/>
        <w:overflowPunct/>
        <w:topLinePunct w:val="0"/>
        <w:autoSpaceDE/>
        <w:autoSpaceDN/>
        <w:bidi w:val="0"/>
        <w:spacing w:before="240" w:after="240" w:line="240" w:lineRule="auto"/>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drawing>
          <wp:inline distT="0" distB="0" distL="114300" distR="114300">
            <wp:extent cx="5270500" cy="3076575"/>
            <wp:effectExtent l="0" t="0" r="6350" b="9525"/>
            <wp:docPr id="13" name="图片 1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5"/>
                    <pic:cNvPicPr>
                      <a:picLocks noChangeAspect="1"/>
                    </pic:cNvPicPr>
                  </pic:nvPicPr>
                  <pic:blipFill>
                    <a:blip r:embed="rId9"/>
                    <a:stretch>
                      <a:fillRect/>
                    </a:stretch>
                  </pic:blipFill>
                  <pic:spPr>
                    <a:xfrm>
                      <a:off x="0" y="0"/>
                      <a:ext cx="5270500" cy="3076575"/>
                    </a:xfrm>
                    <a:prstGeom prst="rect">
                      <a:avLst/>
                    </a:prstGeom>
                  </pic:spPr>
                </pic:pic>
              </a:graphicData>
            </a:graphic>
          </wp:inline>
        </w:drawing>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本年度行政运行支出较上年减少415685.72元，主要原因为上年涉及年初追加公务员绩效奖金等人员经费。一般行政管理事务较上年减少48486.65元，主要原因为本年度聘用制书记员人数减少一人次，相应经费未支出。行政事业单位离退休增加53619.6元，主要由于本年度退休人员增加。机关事业单位基本养老保险缴费增加89436.32元、公务员医疗补助增加34917.29元、住房公积金增加48845.12元，主要原因为本年度财政拨款支出人员增加两人次且工资基数增加。其他收入减少10477.61元，主要原因为本期上缴财政4200000元导致利息收入相应减少。</w:t>
      </w:r>
    </w:p>
    <w:p>
      <w:pPr>
        <w:keepNext w:val="0"/>
        <w:keepLines w:val="0"/>
        <w:pageBreakBefore w:val="0"/>
        <w:kinsoku/>
        <w:wordWrap/>
        <w:overflowPunct/>
        <w:topLinePunct w:val="0"/>
        <w:autoSpaceDE/>
        <w:autoSpaceDN/>
        <w:bidi w:val="0"/>
        <w:spacing w:before="240" w:after="240" w:line="240" w:lineRule="auto"/>
        <w:ind w:firstLine="640" w:firstLineChars="200"/>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eastAsia="zh-CN"/>
        </w:rPr>
        <w:drawing>
          <wp:inline distT="0" distB="0" distL="114300" distR="114300">
            <wp:extent cx="5270500" cy="3076575"/>
            <wp:effectExtent l="0" t="0" r="6350" b="9525"/>
            <wp:docPr id="14" name="图片 1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6"/>
                    <pic:cNvPicPr>
                      <a:picLocks noChangeAspect="1"/>
                    </pic:cNvPicPr>
                  </pic:nvPicPr>
                  <pic:blipFill>
                    <a:blip r:embed="rId10"/>
                    <a:stretch>
                      <a:fillRect/>
                    </a:stretch>
                  </pic:blipFill>
                  <pic:spPr>
                    <a:xfrm>
                      <a:off x="0" y="0"/>
                      <a:ext cx="5270500" cy="3076575"/>
                    </a:xfrm>
                    <a:prstGeom prst="rect">
                      <a:avLst/>
                    </a:prstGeom>
                  </pic:spPr>
                </pic:pic>
              </a:graphicData>
            </a:graphic>
          </wp:inline>
        </w:drawing>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sz w:val="32"/>
          <w:szCs w:val="32"/>
        </w:rPr>
        <w:t>支出变动原因：除其他支出外，其他变动与收入一致。其他支出较上年减少2224903.31元，主要原因为本年度基建支出减少。</w:t>
      </w:r>
    </w:p>
    <w:p>
      <w:pPr>
        <w:pStyle w:val="5"/>
        <w:keepNext w:val="0"/>
        <w:keepLines w:val="0"/>
        <w:pageBreakBefore w:val="0"/>
        <w:widowControl/>
        <w:kinsoku/>
        <w:wordWrap/>
        <w:overflowPunct/>
        <w:topLinePunct w:val="0"/>
        <w:autoSpaceDE/>
        <w:autoSpaceDN/>
        <w:bidi w:val="0"/>
        <w:spacing w:before="319" w:after="319"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i w:val="0"/>
          <w:iCs w:val="0"/>
          <w:color w:val="auto"/>
          <w:kern w:val="0"/>
          <w:sz w:val="32"/>
          <w:szCs w:val="32"/>
        </w:rPr>
        <w:t> 3</w:t>
      </w:r>
      <w:r>
        <w:rPr>
          <w:rFonts w:hint="eastAsia" w:ascii="仿宋" w:hAnsi="仿宋" w:eastAsia="仿宋" w:cs="仿宋"/>
          <w:b/>
          <w:bCs/>
          <w:i w:val="0"/>
          <w:iCs w:val="0"/>
          <w:color w:val="auto"/>
          <w:kern w:val="0"/>
          <w:sz w:val="32"/>
          <w:szCs w:val="32"/>
        </w:rPr>
        <w:t>．支出按经济分类科目分析。</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w:t>
      </w:r>
      <w:r>
        <w:rPr>
          <w:rFonts w:hint="eastAsia" w:ascii="仿宋" w:hAnsi="仿宋" w:eastAsia="仿宋" w:cs="仿宋"/>
          <w:kern w:val="0"/>
          <w:sz w:val="32"/>
          <w:szCs w:val="32"/>
        </w:rPr>
        <w:t>1</w:t>
      </w:r>
      <w:r>
        <w:rPr>
          <w:rFonts w:hint="eastAsia" w:ascii="仿宋" w:hAnsi="仿宋" w:eastAsia="仿宋" w:cs="仿宋"/>
          <w:kern w:val="0"/>
          <w:sz w:val="32"/>
          <w:szCs w:val="32"/>
        </w:rPr>
        <w:t>）</w:t>
      </w:r>
      <w:r>
        <w:rPr>
          <w:rFonts w:hint="eastAsia" w:ascii="仿宋" w:hAnsi="仿宋" w:eastAsia="仿宋" w:cs="仿宋"/>
          <w:kern w:val="0"/>
          <w:sz w:val="32"/>
          <w:szCs w:val="32"/>
        </w:rPr>
        <w:t>“</w:t>
      </w:r>
      <w:r>
        <w:rPr>
          <w:rFonts w:hint="eastAsia" w:ascii="仿宋" w:hAnsi="仿宋" w:eastAsia="仿宋" w:cs="仿宋"/>
          <w:kern w:val="0"/>
          <w:sz w:val="32"/>
          <w:szCs w:val="32"/>
        </w:rPr>
        <w:t>三公</w:t>
      </w:r>
      <w:r>
        <w:rPr>
          <w:rFonts w:hint="eastAsia" w:ascii="仿宋" w:hAnsi="仿宋" w:eastAsia="仿宋" w:cs="仿宋"/>
          <w:kern w:val="0"/>
          <w:sz w:val="32"/>
          <w:szCs w:val="32"/>
        </w:rPr>
        <w:t>”</w:t>
      </w:r>
      <w:r>
        <w:rPr>
          <w:rFonts w:hint="eastAsia" w:ascii="仿宋" w:hAnsi="仿宋" w:eastAsia="仿宋" w:cs="仿宋"/>
          <w:kern w:val="0"/>
          <w:sz w:val="32"/>
          <w:szCs w:val="32"/>
        </w:rPr>
        <w:t>经费支出情况：</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tbl>
      <w:tblPr>
        <w:tblStyle w:val="9"/>
        <w:tblW w:w="4998" w:type="pct"/>
        <w:tblInd w:w="0" w:type="dxa"/>
        <w:tblLayout w:type="autofit"/>
        <w:tblCellMar>
          <w:top w:w="0" w:type="dxa"/>
          <w:left w:w="108" w:type="dxa"/>
          <w:bottom w:w="0" w:type="dxa"/>
          <w:right w:w="108" w:type="dxa"/>
        </w:tblCellMar>
      </w:tblPr>
      <w:tblGrid>
        <w:gridCol w:w="4677"/>
        <w:gridCol w:w="1921"/>
        <w:gridCol w:w="1921"/>
      </w:tblGrid>
      <w:tr>
        <w:tblPrEx>
          <w:tblCellMar>
            <w:top w:w="0" w:type="dxa"/>
            <w:left w:w="108" w:type="dxa"/>
            <w:bottom w:w="0" w:type="dxa"/>
            <w:right w:w="108" w:type="dxa"/>
          </w:tblCellMar>
        </w:tblPrEx>
        <w:trPr>
          <w:trHeight w:val="272" w:hRule="atLeast"/>
        </w:trPr>
        <w:tc>
          <w:tcPr>
            <w:tcW w:w="2744" w:type="pct"/>
            <w:tcBorders>
              <w:top w:val="single" w:color="auto" w:sz="4" w:space="0"/>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“三公”经费支出</w:t>
            </w:r>
          </w:p>
        </w:tc>
        <w:tc>
          <w:tcPr>
            <w:tcW w:w="1127"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年初预算</w:t>
            </w:r>
          </w:p>
        </w:tc>
        <w:tc>
          <w:tcPr>
            <w:tcW w:w="1127"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年终决算</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支出合计</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62,000.00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1．因公出国（境）费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2．公务用车购置及运行维护费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60,000.00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（1）公务用车购置费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（2）公务用车运行维护费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60,000.00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3．公务接待费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2,000.00</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（1）国内接待费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其中：外事接待费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r>
        <w:tblPrEx>
          <w:tblCellMar>
            <w:top w:w="0" w:type="dxa"/>
            <w:left w:w="108" w:type="dxa"/>
            <w:bottom w:w="0" w:type="dxa"/>
            <w:right w:w="108" w:type="dxa"/>
          </w:tblCellMar>
        </w:tblPrEx>
        <w:trPr>
          <w:trHeight w:val="272" w:hRule="atLeast"/>
        </w:trPr>
        <w:tc>
          <w:tcPr>
            <w:tcW w:w="2744" w:type="pct"/>
            <w:tcBorders>
              <w:top w:val="nil"/>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（2）国（境）外接待费</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w:t>
            </w:r>
          </w:p>
        </w:tc>
        <w:tc>
          <w:tcPr>
            <w:tcW w:w="112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w:t>
            </w:r>
          </w:p>
        </w:tc>
      </w:tr>
    </w:tbl>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1953"/>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“三公”经费支出</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2022年支出</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2023年支出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支出合计</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58,591.08</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1．因公出国（境）费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2．公务用车购置及运行维护费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58,591.08</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（1）公务用车购置费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（2）公务用车运行维护费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58,591.08</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52,951.30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3．公务接待费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（1）国内接待费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其中：外事接待费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26" w:type="pct"/>
            <w:shd w:val="clear" w:color="FFFFFF" w:fill="FFC000"/>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lef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      （2）国（境）外接待费</w:t>
            </w:r>
          </w:p>
        </w:tc>
        <w:tc>
          <w:tcPr>
            <w:tcW w:w="1146" w:type="pct"/>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c>
          <w:tcPr>
            <w:tcW w:w="1226" w:type="pct"/>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0.00</w:t>
            </w:r>
          </w:p>
        </w:tc>
      </w:tr>
    </w:tbl>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本年度</w:t>
      </w:r>
      <w:r>
        <w:rPr>
          <w:rFonts w:hint="eastAsia" w:ascii="仿宋" w:hAnsi="仿宋" w:eastAsia="仿宋" w:cs="仿宋"/>
          <w:kern w:val="0"/>
          <w:sz w:val="32"/>
          <w:szCs w:val="32"/>
        </w:rPr>
        <w:t>公务用车保有量</w:t>
      </w:r>
      <w:r>
        <w:rPr>
          <w:rFonts w:hint="eastAsia" w:ascii="仿宋" w:hAnsi="仿宋" w:eastAsia="仿宋" w:cs="仿宋"/>
          <w:kern w:val="0"/>
          <w:sz w:val="32"/>
          <w:szCs w:val="32"/>
        </w:rPr>
        <w:t>为4台，无变动。公务用车运行维护费较上年度支出减少</w:t>
      </w:r>
      <w:r>
        <w:rPr>
          <w:rFonts w:hint="eastAsia" w:ascii="仿宋" w:hAnsi="仿宋" w:eastAsia="仿宋" w:cs="仿宋"/>
          <w:kern w:val="0"/>
          <w:sz w:val="32"/>
          <w:szCs w:val="32"/>
        </w:rPr>
        <w:t>5639.78</w:t>
      </w:r>
      <w:r>
        <w:rPr>
          <w:rFonts w:hint="eastAsia" w:ascii="仿宋" w:hAnsi="仿宋" w:eastAsia="仿宋" w:cs="仿宋"/>
          <w:kern w:val="0"/>
          <w:sz w:val="32"/>
          <w:szCs w:val="32"/>
        </w:rPr>
        <w:t>元，属于正常幅度内的增减变化，并未超出年初预算金额。</w:t>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（2）</w:t>
      </w:r>
      <w:r>
        <w:rPr>
          <w:rFonts w:hint="eastAsia" w:ascii="仿宋" w:hAnsi="仿宋" w:eastAsia="仿宋" w:cs="仿宋"/>
          <w:kern w:val="0"/>
          <w:sz w:val="32"/>
          <w:szCs w:val="32"/>
        </w:rPr>
        <w:t>会议费支出情况：</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本单位未安排会议费。</w:t>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（3）培训费支出情况：</w:t>
      </w:r>
    </w:p>
    <w:tbl>
      <w:tblPr>
        <w:tblStyle w:val="9"/>
        <w:tblW w:w="4999" w:type="pct"/>
        <w:tblInd w:w="0" w:type="dxa"/>
        <w:tblLayout w:type="autofit"/>
        <w:tblCellMar>
          <w:top w:w="0" w:type="dxa"/>
          <w:left w:w="108" w:type="dxa"/>
          <w:bottom w:w="0" w:type="dxa"/>
          <w:right w:w="108" w:type="dxa"/>
        </w:tblCellMar>
      </w:tblPr>
      <w:tblGrid>
        <w:gridCol w:w="4057"/>
        <w:gridCol w:w="2327"/>
        <w:gridCol w:w="2136"/>
      </w:tblGrid>
      <w:tr>
        <w:tblPrEx>
          <w:tblCellMar>
            <w:top w:w="0" w:type="dxa"/>
            <w:left w:w="108" w:type="dxa"/>
            <w:bottom w:w="0" w:type="dxa"/>
            <w:right w:w="108" w:type="dxa"/>
          </w:tblCellMar>
        </w:tblPrEx>
        <w:trPr>
          <w:trHeight w:val="525" w:hRule="atLeast"/>
        </w:trPr>
        <w:tc>
          <w:tcPr>
            <w:tcW w:w="2380" w:type="pct"/>
            <w:tcBorders>
              <w:top w:val="single" w:color="auto" w:sz="4" w:space="0"/>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2" w:firstLineChars="200"/>
              <w:jc w:val="center"/>
              <w:textAlignment w:val="auto"/>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w:t>
            </w:r>
          </w:p>
        </w:tc>
        <w:tc>
          <w:tcPr>
            <w:tcW w:w="1365"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2" w:firstLineChars="200"/>
              <w:jc w:val="center"/>
              <w:textAlignment w:val="auto"/>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2022年度</w:t>
            </w:r>
          </w:p>
        </w:tc>
        <w:tc>
          <w:tcPr>
            <w:tcW w:w="1253"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2" w:firstLineChars="200"/>
              <w:jc w:val="center"/>
              <w:textAlignment w:val="auto"/>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2023年度</w:t>
            </w:r>
          </w:p>
        </w:tc>
      </w:tr>
      <w:tr>
        <w:tblPrEx>
          <w:tblCellMar>
            <w:top w:w="0" w:type="dxa"/>
            <w:left w:w="108" w:type="dxa"/>
            <w:bottom w:w="0" w:type="dxa"/>
            <w:right w:w="108" w:type="dxa"/>
          </w:tblCellMar>
        </w:tblPrEx>
        <w:trPr>
          <w:trHeight w:val="525" w:hRule="atLeast"/>
        </w:trPr>
        <w:tc>
          <w:tcPr>
            <w:tcW w:w="2380"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培训费</w:t>
            </w:r>
          </w:p>
        </w:tc>
        <w:tc>
          <w:tcPr>
            <w:tcW w:w="136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12，019.00</w:t>
            </w:r>
          </w:p>
        </w:tc>
        <w:tc>
          <w:tcPr>
            <w:tcW w:w="1253"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32,654.00</w:t>
            </w:r>
          </w:p>
        </w:tc>
      </w:tr>
    </w:tbl>
    <w:p>
      <w:pPr>
        <w:keepNext w:val="0"/>
        <w:keepLines w:val="0"/>
        <w:pageBreakBefore w:val="0"/>
        <w:kinsoku/>
        <w:wordWrap/>
        <w:overflowPunct/>
        <w:topLinePunct w:val="0"/>
        <w:autoSpaceDE/>
        <w:autoSpaceDN/>
        <w:bidi w:val="0"/>
        <w:spacing w:line="560" w:lineRule="exact"/>
        <w:ind w:firstLine="640" w:firstLineChars="200"/>
        <w:jc w:val="center"/>
        <w:textAlignment w:val="auto"/>
        <w:rPr>
          <w:rFonts w:hint="eastAsia" w:ascii="仿宋" w:hAnsi="仿宋" w:eastAsia="仿宋" w:cs="仿宋"/>
          <w:kern w:val="0"/>
          <w:sz w:val="32"/>
          <w:szCs w:val="32"/>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本年度培训费较上年增长20635元</w:t>
      </w:r>
      <w:r>
        <w:rPr>
          <w:rFonts w:hint="eastAsia" w:ascii="仿宋" w:hAnsi="仿宋" w:eastAsia="仿宋" w:cs="仿宋"/>
          <w:kern w:val="0"/>
          <w:sz w:val="32"/>
          <w:szCs w:val="32"/>
        </w:rPr>
        <w:t>，</w:t>
      </w:r>
      <w:r>
        <w:rPr>
          <w:rFonts w:hint="eastAsia" w:ascii="仿宋" w:hAnsi="仿宋" w:eastAsia="仿宋" w:cs="仿宋"/>
          <w:kern w:val="0"/>
          <w:sz w:val="32"/>
          <w:szCs w:val="32"/>
        </w:rPr>
        <w:t>主要原因为本年度培训人数增加导致的费用增加。</w:t>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（4）其他对单位影响较大的支出情况。</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无。</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w:t>
      </w:r>
      <w:r>
        <w:rPr>
          <w:rFonts w:hint="eastAsia" w:ascii="仿宋" w:hAnsi="仿宋" w:eastAsia="仿宋" w:cs="仿宋"/>
          <w:kern w:val="0"/>
          <w:sz w:val="32"/>
          <w:szCs w:val="32"/>
        </w:rPr>
        <w:t>5</w:t>
      </w:r>
      <w:r>
        <w:rPr>
          <w:rFonts w:hint="eastAsia" w:ascii="仿宋" w:hAnsi="仿宋" w:eastAsia="仿宋" w:cs="仿宋"/>
          <w:kern w:val="0"/>
          <w:sz w:val="32"/>
          <w:szCs w:val="32"/>
        </w:rPr>
        <w:t>）重点经济分类支出中存在的问题及改进措施。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无。</w:t>
      </w:r>
    </w:p>
    <w:p>
      <w:pPr>
        <w:pStyle w:val="5"/>
        <w:keepNext w:val="0"/>
        <w:keepLines w:val="0"/>
        <w:pageBreakBefore w:val="0"/>
        <w:widowControl/>
        <w:kinsoku/>
        <w:wordWrap/>
        <w:overflowPunct/>
        <w:topLinePunct w:val="0"/>
        <w:autoSpaceDE/>
        <w:autoSpaceDN/>
        <w:bidi w:val="0"/>
        <w:spacing w:before="319" w:after="319"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i w:val="0"/>
          <w:iCs w:val="0"/>
          <w:color w:val="auto"/>
          <w:kern w:val="0"/>
          <w:sz w:val="32"/>
          <w:szCs w:val="32"/>
        </w:rPr>
        <w:t>4.</w:t>
      </w:r>
      <w:r>
        <w:rPr>
          <w:rFonts w:hint="eastAsia" w:ascii="仿宋" w:hAnsi="仿宋" w:eastAsia="仿宋" w:cs="仿宋"/>
          <w:b/>
          <w:bCs/>
          <w:i w:val="0"/>
          <w:iCs w:val="0"/>
          <w:color w:val="auto"/>
          <w:kern w:val="0"/>
          <w:sz w:val="32"/>
          <w:szCs w:val="32"/>
        </w:rPr>
        <w:t>财政拨款收入、支出分析。</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根据报表项目分析财政拨款收入、支出情况，支出要按照基本支出和项目支出分析具体构成及特点。</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tbl>
      <w:tblPr>
        <w:tblStyle w:val="9"/>
        <w:tblW w:w="4999" w:type="pct"/>
        <w:jc w:val="center"/>
        <w:tblLayout w:type="autofit"/>
        <w:tblCellMar>
          <w:top w:w="0" w:type="dxa"/>
          <w:left w:w="108" w:type="dxa"/>
          <w:bottom w:w="0" w:type="dxa"/>
          <w:right w:w="108" w:type="dxa"/>
        </w:tblCellMar>
      </w:tblPr>
      <w:tblGrid>
        <w:gridCol w:w="5415"/>
        <w:gridCol w:w="3105"/>
      </w:tblGrid>
      <w:tr>
        <w:tblPrEx>
          <w:tblCellMar>
            <w:top w:w="0" w:type="dxa"/>
            <w:left w:w="108" w:type="dxa"/>
            <w:bottom w:w="0" w:type="dxa"/>
            <w:right w:w="108" w:type="dxa"/>
          </w:tblCellMar>
        </w:tblPrEx>
        <w:trPr>
          <w:trHeight w:val="465" w:hRule="atLeast"/>
          <w:jc w:val="center"/>
        </w:trPr>
        <w:tc>
          <w:tcPr>
            <w:tcW w:w="3177" w:type="pct"/>
            <w:tcBorders>
              <w:top w:val="single" w:color="auto" w:sz="4" w:space="0"/>
              <w:left w:val="single" w:color="auto" w:sz="4" w:space="0"/>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2" w:firstLineChars="200"/>
              <w:jc w:val="center"/>
              <w:textAlignment w:val="auto"/>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 目</w:t>
            </w:r>
          </w:p>
        </w:tc>
        <w:tc>
          <w:tcPr>
            <w:tcW w:w="1822" w:type="pct"/>
            <w:tcBorders>
              <w:top w:val="single" w:color="auto" w:sz="4" w:space="0"/>
              <w:left w:val="nil"/>
              <w:bottom w:val="single" w:color="auto" w:sz="4" w:space="0"/>
              <w:right w:val="single" w:color="auto" w:sz="4" w:space="0"/>
            </w:tcBorders>
            <w:shd w:val="clear" w:color="000000" w:fill="FFC000"/>
            <w:noWrap/>
            <w:vAlign w:val="center"/>
          </w:tcPr>
          <w:p>
            <w:pPr>
              <w:keepNext w:val="0"/>
              <w:keepLines w:val="0"/>
              <w:pageBreakBefore w:val="0"/>
              <w:widowControl/>
              <w:kinsoku/>
              <w:wordWrap/>
              <w:overflowPunct/>
              <w:topLinePunct w:val="0"/>
              <w:autoSpaceDE/>
              <w:autoSpaceDN/>
              <w:bidi w:val="0"/>
              <w:spacing w:line="560" w:lineRule="exact"/>
              <w:ind w:firstLine="402" w:firstLineChars="200"/>
              <w:jc w:val="center"/>
              <w:textAlignment w:val="auto"/>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2023年度</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财政拨款收入、支出</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8,434,,753.79 </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工资福利支出</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5,364,981.8 </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对个人和家庭的补助</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163,409.6</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公用经费支出</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884,559.09 </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部门预算项目</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1,672,440.26 </w:t>
            </w:r>
          </w:p>
        </w:tc>
      </w:tr>
      <w:tr>
        <w:tblPrEx>
          <w:tblCellMar>
            <w:top w:w="0" w:type="dxa"/>
            <w:left w:w="108" w:type="dxa"/>
            <w:bottom w:w="0" w:type="dxa"/>
            <w:right w:w="108" w:type="dxa"/>
          </w:tblCellMar>
        </w:tblPrEx>
        <w:trPr>
          <w:trHeight w:val="465" w:hRule="atLeast"/>
          <w:jc w:val="center"/>
        </w:trPr>
        <w:tc>
          <w:tcPr>
            <w:tcW w:w="3177"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center"/>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专项资金项目</w:t>
            </w:r>
          </w:p>
        </w:tc>
        <w:tc>
          <w:tcPr>
            <w:tcW w:w="1822"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spacing w:line="560" w:lineRule="exact"/>
              <w:ind w:firstLine="400" w:firstLineChars="200"/>
              <w:jc w:val="right"/>
              <w:textAlignment w:val="auto"/>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 xml:space="preserve">349,363.04 </w:t>
            </w:r>
          </w:p>
        </w:tc>
      </w:tr>
    </w:tbl>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财政拨款收入中超过一半以上为工资福利支出，公用经费根据人员信息预算系统自动提取。部门预算项目中包括办案业务经费、业务装备经费，其中办案业务经费中超过80%支出用于补充公用经费中的物业费和取暖费</w:t>
      </w:r>
      <w:r>
        <w:rPr>
          <w:rFonts w:hint="eastAsia" w:ascii="仿宋" w:hAnsi="仿宋" w:eastAsia="仿宋" w:cs="仿宋"/>
          <w:kern w:val="0"/>
          <w:sz w:val="32"/>
          <w:szCs w:val="32"/>
        </w:rPr>
        <w:t>。</w:t>
      </w:r>
      <w:r>
        <w:rPr>
          <w:rFonts w:hint="eastAsia" w:ascii="仿宋" w:hAnsi="仿宋" w:eastAsia="仿宋" w:cs="仿宋"/>
          <w:kern w:val="0"/>
          <w:sz w:val="32"/>
          <w:szCs w:val="32"/>
        </w:rPr>
        <w:t>专项资金项目包括上年度结转的中央政法转移支付资金和本年度的办案业务保障经费、业务装备经费。</w:t>
      </w:r>
    </w:p>
    <w:p>
      <w:pPr>
        <w:pStyle w:val="5"/>
        <w:keepNext w:val="0"/>
        <w:keepLines w:val="0"/>
        <w:pageBreakBefore w:val="0"/>
        <w:widowControl/>
        <w:kinsoku/>
        <w:wordWrap/>
        <w:overflowPunct/>
        <w:topLinePunct w:val="0"/>
        <w:autoSpaceDE/>
        <w:autoSpaceDN/>
        <w:bidi w:val="0"/>
        <w:spacing w:before="319" w:after="319"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i w:val="0"/>
          <w:iCs w:val="0"/>
          <w:color w:val="auto"/>
          <w:kern w:val="0"/>
          <w:sz w:val="32"/>
          <w:szCs w:val="32"/>
        </w:rPr>
        <w:t>5.</w:t>
      </w:r>
      <w:r>
        <w:rPr>
          <w:rFonts w:hint="eastAsia" w:ascii="仿宋" w:hAnsi="仿宋" w:eastAsia="仿宋" w:cs="仿宋"/>
          <w:b/>
          <w:bCs/>
          <w:i w:val="0"/>
          <w:iCs w:val="0"/>
          <w:color w:val="auto"/>
          <w:kern w:val="0"/>
          <w:sz w:val="32"/>
          <w:szCs w:val="32"/>
        </w:rPr>
        <w:t>非财政拨款收入分析。</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非财政拨款收入其他收入，共计</w:t>
      </w:r>
      <w:r>
        <w:rPr>
          <w:rFonts w:hint="eastAsia" w:ascii="仿宋" w:hAnsi="仿宋" w:eastAsia="仿宋" w:cs="仿宋"/>
          <w:kern w:val="0"/>
          <w:sz w:val="32"/>
          <w:szCs w:val="32"/>
        </w:rPr>
        <w:t>12161.57</w:t>
      </w:r>
      <w:r>
        <w:rPr>
          <w:rFonts w:hint="eastAsia" w:ascii="仿宋" w:hAnsi="仿宋" w:eastAsia="仿宋" w:cs="仿宋"/>
          <w:kern w:val="0"/>
          <w:sz w:val="32"/>
          <w:szCs w:val="32"/>
        </w:rPr>
        <w:t>元，来源为利息收入。</w:t>
      </w:r>
    </w:p>
    <w:p>
      <w:pPr>
        <w:pStyle w:val="4"/>
        <w:keepNext w:val="0"/>
        <w:keepLines w:val="0"/>
        <w:pageBreakBefore w:val="0"/>
        <w:widowControl/>
        <w:kinsoku/>
        <w:wordWrap/>
        <w:overflowPunct/>
        <w:topLinePunct w:val="0"/>
        <w:autoSpaceDE/>
        <w:autoSpaceDN/>
        <w:bidi w:val="0"/>
        <w:spacing w:before="281" w:after="281"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（三）年末结转和结余情况。</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w:t>
      </w:r>
      <w:r>
        <w:rPr>
          <w:rFonts w:hint="eastAsia" w:ascii="仿宋" w:hAnsi="仿宋" w:eastAsia="仿宋" w:cs="仿宋"/>
          <w:kern w:val="0"/>
          <w:sz w:val="32"/>
          <w:szCs w:val="32"/>
        </w:rPr>
        <w:t>．</w:t>
      </w:r>
      <w:r>
        <w:rPr>
          <w:rFonts w:hint="eastAsia" w:ascii="仿宋" w:hAnsi="仿宋" w:eastAsia="仿宋" w:cs="仿宋"/>
          <w:kern w:val="0"/>
          <w:sz w:val="32"/>
          <w:szCs w:val="32"/>
        </w:rPr>
        <w:t>本年度结转结余</w:t>
      </w:r>
      <w:r>
        <w:rPr>
          <w:rFonts w:hint="eastAsia" w:ascii="仿宋" w:hAnsi="仿宋" w:eastAsia="仿宋" w:cs="仿宋"/>
          <w:kern w:val="0"/>
          <w:sz w:val="32"/>
          <w:szCs w:val="32"/>
        </w:rPr>
        <w:t>1158979.43</w:t>
      </w:r>
      <w:r>
        <w:rPr>
          <w:rFonts w:hint="eastAsia" w:ascii="仿宋" w:hAnsi="仿宋" w:eastAsia="仿宋" w:cs="仿宋"/>
          <w:kern w:val="0"/>
          <w:sz w:val="32"/>
          <w:szCs w:val="32"/>
        </w:rPr>
        <w:t>元，均为非财政拨款结转结余，基本支出结转</w:t>
      </w:r>
      <w:r>
        <w:rPr>
          <w:rFonts w:hint="eastAsia" w:ascii="仿宋" w:hAnsi="仿宋" w:eastAsia="仿宋" w:cs="仿宋"/>
          <w:kern w:val="0"/>
          <w:sz w:val="32"/>
          <w:szCs w:val="32"/>
        </w:rPr>
        <w:t>12161.57</w:t>
      </w:r>
      <w:r>
        <w:rPr>
          <w:rFonts w:hint="eastAsia" w:ascii="仿宋" w:hAnsi="仿宋" w:eastAsia="仿宋" w:cs="仿宋"/>
          <w:kern w:val="0"/>
          <w:sz w:val="32"/>
          <w:szCs w:val="32"/>
        </w:rPr>
        <w:t>元，项目支出结转和结余</w:t>
      </w:r>
      <w:r>
        <w:rPr>
          <w:rFonts w:hint="eastAsia" w:ascii="仿宋" w:hAnsi="仿宋" w:eastAsia="仿宋" w:cs="仿宋"/>
          <w:kern w:val="0"/>
          <w:sz w:val="32"/>
          <w:szCs w:val="32"/>
        </w:rPr>
        <w:t>1146817.86</w:t>
      </w:r>
      <w:r>
        <w:rPr>
          <w:rFonts w:hint="eastAsia" w:ascii="仿宋" w:hAnsi="仿宋" w:eastAsia="仿宋" w:cs="仿宋"/>
          <w:kern w:val="0"/>
          <w:sz w:val="32"/>
          <w:szCs w:val="32"/>
        </w:rPr>
        <w:t>元。基本支出结转中为利息收入，项目支出结转结余为基本建设资金。</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2</w:t>
      </w:r>
      <w:r>
        <w:rPr>
          <w:rFonts w:hint="eastAsia" w:ascii="仿宋" w:hAnsi="仿宋" w:eastAsia="仿宋" w:cs="仿宋"/>
          <w:kern w:val="0"/>
          <w:sz w:val="32"/>
          <w:szCs w:val="32"/>
        </w:rPr>
        <w:t>．消化结转和结余的对策。</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我院基建项目尚未完成竣工决算，且部分单位尾款尚未支付，故项目支出有较大结转结余。基本支出为利息收入，竣工决算正在进行中，待基建项目完成竣工决算后，将剩余项目资金与利息收入缴回财政部门。</w:t>
      </w:r>
    </w:p>
    <w:p>
      <w:pPr>
        <w:pStyle w:val="4"/>
        <w:keepNext w:val="0"/>
        <w:keepLines w:val="0"/>
        <w:pageBreakBefore w:val="0"/>
        <w:widowControl/>
        <w:kinsoku/>
        <w:wordWrap/>
        <w:overflowPunct/>
        <w:topLinePunct w:val="0"/>
        <w:autoSpaceDE/>
        <w:autoSpaceDN/>
        <w:bidi w:val="0"/>
        <w:spacing w:before="281" w:after="281"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（四）与预算支出相关的其他指标分析。</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对资产、负债信息进行分析，主要分析与上年度对比情况，包括增减绝对值与幅度，增减变动主要原因。</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年末资产总额8720.91万元，比上年减少597.04万元，其中银行存款123.76万元，比上年减少530.89万元；在建工程263.42万元，比上年增加110万元；固定资产7654.21万元，比上年增加20.05万元；无形资产1383.04万元，比上年增加1.52万元；其他应收款7.86万元，较上年减少2.11万元。</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年末负债总额7.86万元，比上年减少2.11万元。</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银行存款减少原因为支付“两房”建设款，上缴财政420万元；在建工程增加原因为本年度支付基建款但未及时将在建工程转入固定资产；固定资产、无形资产增加原因为每年正常购入办公设备，往来款减少原因为上缴财政款导致利息收入减少。</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p>
    <w:p>
      <w:pPr>
        <w:pStyle w:val="4"/>
        <w:keepNext w:val="0"/>
        <w:keepLines w:val="0"/>
        <w:pageBreakBefore w:val="0"/>
        <w:widowControl/>
        <w:kinsoku/>
        <w:wordWrap/>
        <w:overflowPunct/>
        <w:topLinePunct w:val="0"/>
        <w:autoSpaceDE/>
        <w:autoSpaceDN/>
        <w:bidi w:val="0"/>
        <w:spacing w:before="281" w:after="281"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（五）绩效目标完成情况。</w:t>
      </w:r>
    </w:p>
    <w:p>
      <w:pPr>
        <w:keepNext w:val="0"/>
        <w:keepLines w:val="0"/>
        <w:pageBreakBefore w:val="0"/>
        <w:kinsoku/>
        <w:wordWrap/>
        <w:overflowPunct/>
        <w:topLinePunct w:val="0"/>
        <w:autoSpaceDE/>
        <w:autoSpaceDN/>
        <w:bidi w:val="0"/>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1.概述项目绩效目标完成情况。</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办案业务费项目主要用于保障办理公诉和审判监督、侦查监督、民事监督等案件所需的经费，支付办案过程中需要的不适合列支其他科目的经费。本年度办案业务经费支出</w:t>
      </w:r>
      <w:r>
        <w:rPr>
          <w:rFonts w:hint="eastAsia" w:ascii="仿宋" w:hAnsi="仿宋" w:eastAsia="仿宋" w:cs="仿宋"/>
          <w:kern w:val="0"/>
          <w:sz w:val="32"/>
          <w:szCs w:val="32"/>
        </w:rPr>
        <w:t>163.26</w:t>
      </w:r>
      <w:r>
        <w:rPr>
          <w:rFonts w:hint="eastAsia" w:ascii="仿宋" w:hAnsi="仿宋" w:eastAsia="仿宋" w:cs="仿宋"/>
          <w:kern w:val="0"/>
          <w:sz w:val="32"/>
          <w:szCs w:val="32"/>
        </w:rPr>
        <w:t>万元，执行率9</w:t>
      </w:r>
      <w:r>
        <w:rPr>
          <w:rFonts w:hint="eastAsia" w:ascii="仿宋" w:hAnsi="仿宋" w:eastAsia="仿宋" w:cs="仿宋"/>
          <w:kern w:val="0"/>
          <w:sz w:val="32"/>
          <w:szCs w:val="32"/>
        </w:rPr>
        <w:t>7</w:t>
      </w:r>
      <w:r>
        <w:rPr>
          <w:rFonts w:hint="eastAsia" w:ascii="仿宋" w:hAnsi="仿宋" w:eastAsia="仿宋" w:cs="仿宋"/>
          <w:kern w:val="0"/>
          <w:sz w:val="32"/>
          <w:szCs w:val="32"/>
        </w:rPr>
        <w:t>%，完成预期目标且节约经费。</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2</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业务装备费主要用于保障项目资金，支付信息网络及软件购置更新、专用设备、办公设备购置等，用于本单位智能辅助办案系统等。业务装备经费支出</w:t>
      </w:r>
      <w:r>
        <w:rPr>
          <w:rFonts w:hint="eastAsia" w:ascii="仿宋" w:hAnsi="仿宋" w:eastAsia="仿宋" w:cs="仿宋"/>
          <w:kern w:val="0"/>
          <w:sz w:val="32"/>
          <w:szCs w:val="32"/>
        </w:rPr>
        <w:t>3.98</w:t>
      </w:r>
      <w:r>
        <w:rPr>
          <w:rFonts w:hint="eastAsia" w:ascii="仿宋" w:hAnsi="仿宋" w:eastAsia="仿宋" w:cs="仿宋"/>
          <w:kern w:val="0"/>
          <w:sz w:val="32"/>
          <w:szCs w:val="32"/>
        </w:rPr>
        <w:t>万元，执行率</w:t>
      </w:r>
      <w:r>
        <w:rPr>
          <w:rFonts w:hint="eastAsia" w:ascii="仿宋" w:hAnsi="仿宋" w:eastAsia="仿宋" w:cs="仿宋"/>
          <w:kern w:val="0"/>
          <w:sz w:val="32"/>
          <w:szCs w:val="32"/>
        </w:rPr>
        <w:t>35</w:t>
      </w:r>
      <w:r>
        <w:rPr>
          <w:rFonts w:hint="eastAsia" w:ascii="仿宋" w:hAnsi="仿宋" w:eastAsia="仿宋" w:cs="仿宋"/>
          <w:kern w:val="0"/>
          <w:sz w:val="32"/>
          <w:szCs w:val="32"/>
        </w:rPr>
        <w:t>%，执行率未达目标，原因为本年度计划购买国产电脑未能如期投入销售，故相应预算未能支付。</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lang w:eastAsia="zh-CN"/>
        </w:rPr>
        <w:t>（</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法检院聘用制书记员保障经费执行率</w:t>
      </w:r>
      <w:r>
        <w:rPr>
          <w:rFonts w:hint="eastAsia" w:ascii="仿宋" w:hAnsi="仿宋" w:eastAsia="仿宋" w:cs="仿宋"/>
          <w:kern w:val="0"/>
          <w:sz w:val="32"/>
          <w:szCs w:val="32"/>
        </w:rPr>
        <w:t>95</w:t>
      </w:r>
      <w:r>
        <w:rPr>
          <w:rFonts w:hint="eastAsia" w:ascii="仿宋" w:hAnsi="仿宋" w:eastAsia="仿宋" w:cs="仿宋"/>
          <w:kern w:val="0"/>
          <w:sz w:val="32"/>
          <w:szCs w:val="32"/>
        </w:rPr>
        <w:t>%，按照政治部标准按时发放工资，达到预期目标。</w:t>
      </w:r>
    </w:p>
    <w:p>
      <w:pPr>
        <w:pStyle w:val="4"/>
        <w:keepNext w:val="0"/>
        <w:keepLines w:val="0"/>
        <w:pageBreakBefore w:val="0"/>
        <w:widowControl/>
        <w:kinsoku/>
        <w:wordWrap/>
        <w:overflowPunct/>
        <w:topLinePunct w:val="0"/>
        <w:autoSpaceDE/>
        <w:autoSpaceDN/>
        <w:bidi w:val="0"/>
        <w:spacing w:before="281" w:after="281" w:line="560" w:lineRule="exact"/>
        <w:ind w:firstLine="643" w:firstLineChars="200"/>
        <w:jc w:val="left"/>
        <w:textAlignment w:val="auto"/>
        <w:rPr>
          <w:rFonts w:hint="eastAsia" w:ascii="仿宋" w:hAnsi="仿宋" w:eastAsia="仿宋" w:cs="仿宋"/>
          <w:b/>
          <w:bCs/>
          <w:color w:val="auto"/>
          <w:kern w:val="0"/>
          <w:sz w:val="32"/>
          <w:szCs w:val="32"/>
        </w:rPr>
      </w:pPr>
      <w:r>
        <w:rPr>
          <w:rFonts w:hint="eastAsia" w:ascii="仿宋" w:hAnsi="仿宋" w:eastAsia="仿宋" w:cs="仿宋"/>
          <w:b/>
          <w:bCs/>
          <w:color w:val="auto"/>
          <w:kern w:val="0"/>
          <w:sz w:val="32"/>
          <w:szCs w:val="32"/>
        </w:rPr>
        <w:t>（六）当年预算执行及绩效管理中存在问题、原因及改进措施。</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当年预算执行率为96%。预算严格绩效管理，花钱必问效、厉行节俭。但在绩效管理工作中存在同一个项目分成年终结转数与年初预算数分开自评管理的问题，希望能够整合统一绩效自评</w:t>
      </w:r>
      <w:r>
        <w:rPr>
          <w:rFonts w:hint="eastAsia" w:ascii="仿宋" w:hAnsi="仿宋" w:eastAsia="仿宋" w:cs="仿宋"/>
          <w:kern w:val="0"/>
          <w:sz w:val="32"/>
          <w:szCs w:val="32"/>
        </w:rPr>
        <w:t>。</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 w:hAnsi="仿宋" w:eastAsia="仿宋" w:cs="仿宋"/>
          <w:kern w:val="0"/>
          <w:sz w:val="32"/>
          <w:szCs w:val="32"/>
        </w:rPr>
      </w:pPr>
    </w:p>
    <w:p>
      <w:pPr>
        <w:pStyle w:val="3"/>
        <w:keepNext w:val="0"/>
        <w:keepLines w:val="0"/>
        <w:pageBreakBefore w:val="0"/>
        <w:widowControl/>
        <w:kinsoku/>
        <w:wordWrap/>
        <w:overflowPunct/>
        <w:topLinePunct w:val="0"/>
        <w:autoSpaceDE/>
        <w:autoSpaceDN/>
        <w:bidi w:val="0"/>
        <w:spacing w:before="299" w:after="299" w:line="560" w:lineRule="exact"/>
        <w:ind w:firstLine="643" w:firstLineChars="200"/>
        <w:jc w:val="left"/>
        <w:textAlignment w:val="auto"/>
        <w:rPr>
          <w:rFonts w:hint="eastAsia" w:ascii="仿宋" w:hAnsi="仿宋" w:eastAsia="仿宋" w:cs="仿宋"/>
          <w:b/>
          <w:bCs/>
          <w:kern w:val="0"/>
          <w:sz w:val="32"/>
          <w:szCs w:val="32"/>
        </w:rPr>
      </w:pPr>
      <w:r>
        <w:rPr>
          <w:rFonts w:hint="eastAsia" w:ascii="仿宋" w:hAnsi="仿宋" w:eastAsia="仿宋" w:cs="仿宋"/>
          <w:b/>
          <w:bCs/>
          <w:color w:val="auto"/>
          <w:kern w:val="0"/>
          <w:sz w:val="32"/>
          <w:szCs w:val="32"/>
        </w:rPr>
        <w:t>三、本年度部门决算等财务工作开展情况</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（一）本单位财务管理、绩效管理、决算组织、编报、审核情况。</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本年度继续严格执行财务管理相关制度，并规范各项制度流程，合理安排经费支出，提高资金使用效益，保质保量完成预算资金安排，切实加强对办案业务的倾斜，避免铺张浪费情况，对经费使用从严控制，促进公正司法，保证我院各项工作顺利进行和检察事业的发展。</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（二）本单位决算及绩效信息公开工作开展情况。</w:t>
      </w:r>
    </w:p>
    <w:p>
      <w:pPr>
        <w:keepNext w:val="0"/>
        <w:keepLines w:val="0"/>
        <w:pageBreakBefore w:val="0"/>
        <w:kinsoku/>
        <w:wordWrap/>
        <w:overflowPunct/>
        <w:topLinePunct w:val="0"/>
        <w:autoSpaceDE/>
        <w:autoSpaceDN/>
        <w:bidi w:val="0"/>
        <w:snapToGrid w:val="0"/>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kern w:val="0"/>
          <w:sz w:val="32"/>
          <w:szCs w:val="32"/>
        </w:rPr>
        <w:t>决算已按要求及时准确进行公开，绩效信息根据上级单位要求配合各项公开工作。</w:t>
      </w:r>
    </w:p>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（三）对部门决算管理工作的意见和建议。</w:t>
      </w:r>
    </w:p>
    <w:p>
      <w:pPr>
        <w:keepNext w:val="0"/>
        <w:keepLines w:val="0"/>
        <w:pageBreakBefore w:val="0"/>
        <w:pBdr>
          <w:left w:val="none" w:color="auto" w:sz="0" w:space="30"/>
        </w:pBdr>
        <w:kinsoku/>
        <w:wordWrap/>
        <w:overflowPunct/>
        <w:topLinePunct w:val="0"/>
        <w:autoSpaceDE/>
        <w:autoSpaceDN/>
        <w:bidi w:val="0"/>
        <w:adjustRightInd/>
        <w:snapToGrid/>
        <w:spacing w:before="240" w:after="240"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1.自行增加的审核公式和模板，请说明设置依据。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无。</w:t>
      </w:r>
    </w:p>
    <w:p>
      <w:pPr>
        <w:keepNext w:val="0"/>
        <w:keepLines w:val="0"/>
        <w:pageBreakBefore w:val="0"/>
        <w:widowControl/>
        <w:pBdr>
          <w:left w:val="none" w:color="auto" w:sz="0" w:space="30"/>
        </w:pBdr>
        <w:kinsoku/>
        <w:wordWrap/>
        <w:overflowPunct/>
        <w:topLinePunct w:val="0"/>
        <w:autoSpaceDE/>
        <w:autoSpaceDN/>
        <w:bidi w:val="0"/>
        <w:adjustRightInd/>
        <w:snapToGrid/>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2.</w:t>
      </w:r>
      <w:r>
        <w:rPr>
          <w:rFonts w:hint="eastAsia" w:ascii="仿宋" w:hAnsi="仿宋" w:eastAsia="仿宋" w:cs="仿宋"/>
          <w:kern w:val="0"/>
          <w:sz w:val="32"/>
          <w:szCs w:val="32"/>
        </w:rPr>
        <w:t>对部门决算报表修订设计的意见和建议，包括表样、指标设置、软件、审核公式、模板和编审问答等，请列出并说明修改意见。</w:t>
      </w:r>
    </w:p>
    <w:p>
      <w:pPr>
        <w:keepNext w:val="0"/>
        <w:keepLines w:val="0"/>
        <w:pageBreakBefore w:val="0"/>
        <w:widowControl/>
        <w:pBdr>
          <w:left w:val="none" w:color="auto" w:sz="0" w:space="30"/>
        </w:pBdr>
        <w:kinsoku/>
        <w:wordWrap/>
        <w:overflowPunct/>
        <w:topLinePunct w:val="0"/>
        <w:autoSpaceDE/>
        <w:autoSpaceDN/>
        <w:bidi w:val="0"/>
        <w:adjustRightInd/>
        <w:snapToGrid/>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审核对账单与会计账核算金额若无法正常同步和保持统一统计口径，减少审核相关性，减少审核负担。部分自动生成单元格无法通过点击查询到数据来源。</w:t>
      </w:r>
      <w:bookmarkStart w:id="1" w:name="_GoBack"/>
      <w:bookmarkEnd w:id="1"/>
    </w:p>
    <w:p>
      <w:pPr>
        <w:keepNext w:val="0"/>
        <w:keepLines w:val="0"/>
        <w:pageBreakBefore w:val="0"/>
        <w:widowControl/>
        <w:pBdr>
          <w:left w:val="none" w:color="auto" w:sz="0" w:space="30"/>
        </w:pBdr>
        <w:kinsoku/>
        <w:wordWrap/>
        <w:overflowPunct/>
        <w:topLinePunct w:val="0"/>
        <w:autoSpaceDE/>
        <w:autoSpaceDN/>
        <w:bidi w:val="0"/>
        <w:adjustRightInd/>
        <w:snapToGrid/>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3.</w:t>
      </w:r>
      <w:r>
        <w:rPr>
          <w:rFonts w:hint="eastAsia" w:ascii="仿宋" w:hAnsi="仿宋" w:eastAsia="仿宋" w:cs="仿宋"/>
          <w:kern w:val="0"/>
          <w:sz w:val="32"/>
          <w:szCs w:val="32"/>
        </w:rPr>
        <w:t>对部门决算其他管理工作的建议。</w:t>
      </w:r>
    </w:p>
    <w:bookmarkEnd w:id="0"/>
    <w:p>
      <w:pPr>
        <w:keepNext w:val="0"/>
        <w:keepLines w:val="0"/>
        <w:pageBreakBefore w:val="0"/>
        <w:widowControl/>
        <w:kinsoku/>
        <w:wordWrap/>
        <w:overflowPunct/>
        <w:topLinePunct w:val="0"/>
        <w:autoSpaceDE/>
        <w:autoSpaceDN/>
        <w:bidi w:val="0"/>
        <w:spacing w:before="240" w:after="240" w:line="560" w:lineRule="exact"/>
        <w:ind w:firstLine="640" w:firstLineChars="200"/>
        <w:jc w:val="left"/>
        <w:textAlignment w:val="auto"/>
        <w:rPr>
          <w:rFonts w:hint="eastAsia" w:ascii="仿宋" w:hAnsi="仿宋" w:eastAsia="仿宋" w:cs="仿宋"/>
          <w:kern w:val="0"/>
          <w:sz w:val="32"/>
          <w:szCs w:val="32"/>
        </w:rPr>
      </w:pPr>
      <w:r>
        <w:rPr>
          <w:rFonts w:hint="eastAsia" w:ascii="仿宋" w:hAnsi="仿宋" w:eastAsia="仿宋" w:cs="仿宋"/>
          <w:kern w:val="0"/>
          <w:sz w:val="32"/>
          <w:szCs w:val="32"/>
        </w:rPr>
        <w:t>无。</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微软雅黑"/>
    <w:panose1 w:val="00000000000000000000"/>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w:panose1 w:val="020F0502020204030204"/>
    <w:charset w:val="01"/>
    <w:family w:val="auto"/>
    <w:pitch w:val="default"/>
    <w:sig w:usb0="E00002FF" w:usb1="4000ACFF" w:usb2="00000001" w:usb3="00000000" w:csb0="2000019F" w:csb1="00000000"/>
  </w:font>
  <w:font w:name="等线">
    <w:altName w:val="微软雅黑"/>
    <w:panose1 w:val="00000000000000000000"/>
    <w:charset w:val="01"/>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12</w:t>
    </w:r>
    <w:r>
      <w:rPr>
        <w:rFonts w:ascii="宋体" w:hAnsi="宋体" w:eastAsia="宋体" w:cs="宋体"/>
        <w:sz w:val="1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4CAA7"/>
    <w:multiLevelType w:val="singleLevel"/>
    <w:tmpl w:val="A604CAA7"/>
    <w:lvl w:ilvl="0" w:tentative="0">
      <w:start w:val="2"/>
      <w:numFmt w:val="decimal"/>
      <w:suff w:val="nothing"/>
      <w:lvlText w:val="%1．"/>
      <w:lvlJc w:val="left"/>
    </w:lvl>
  </w:abstractNum>
  <w:abstractNum w:abstractNumId="1">
    <w:nsid w:val="F7169B2E"/>
    <w:multiLevelType w:val="singleLevel"/>
    <w:tmpl w:val="F7169B2E"/>
    <w:lvl w:ilvl="0" w:tentative="0">
      <w:start w:val="1"/>
      <w:numFmt w:val="chineseCounting"/>
      <w:suff w:val="nothing"/>
      <w:lvlText w:val="%1、"/>
      <w:lvlJc w:val="left"/>
      <w:rPr>
        <w:rFonts w:hint="eastAsia"/>
      </w:rPr>
    </w:lvl>
  </w:abstractNum>
  <w:abstractNum w:abstractNumId="2">
    <w:nsid w:val="7D7C9480"/>
    <w:multiLevelType w:val="singleLevel"/>
    <w:tmpl w:val="7D7C9480"/>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g5YTI2ZDRiNGM5NDY4NjhjMDUzZTIxN2Q3N2E1OGIifQ=="/>
  </w:docVars>
  <w:rsids>
    <w:rsidRoot w:val="002C0BEC"/>
    <w:rsid w:val="00055691"/>
    <w:rsid w:val="000F6CC6"/>
    <w:rsid w:val="0011008E"/>
    <w:rsid w:val="0011265E"/>
    <w:rsid w:val="00163F9E"/>
    <w:rsid w:val="001864FE"/>
    <w:rsid w:val="001B5455"/>
    <w:rsid w:val="001C3B9F"/>
    <w:rsid w:val="00254BB7"/>
    <w:rsid w:val="0028077D"/>
    <w:rsid w:val="002808D8"/>
    <w:rsid w:val="00295757"/>
    <w:rsid w:val="002C0BEC"/>
    <w:rsid w:val="002D05C0"/>
    <w:rsid w:val="00321EEC"/>
    <w:rsid w:val="00337D5D"/>
    <w:rsid w:val="003562E7"/>
    <w:rsid w:val="00397A71"/>
    <w:rsid w:val="003C4B28"/>
    <w:rsid w:val="00433F63"/>
    <w:rsid w:val="004761CC"/>
    <w:rsid w:val="004D4320"/>
    <w:rsid w:val="004F3DFB"/>
    <w:rsid w:val="005D154F"/>
    <w:rsid w:val="005E503D"/>
    <w:rsid w:val="005F35F5"/>
    <w:rsid w:val="005F7B89"/>
    <w:rsid w:val="00627C2F"/>
    <w:rsid w:val="006742D2"/>
    <w:rsid w:val="006801EA"/>
    <w:rsid w:val="007200C2"/>
    <w:rsid w:val="00795FDB"/>
    <w:rsid w:val="007F08A7"/>
    <w:rsid w:val="0085005C"/>
    <w:rsid w:val="00852F7B"/>
    <w:rsid w:val="00892693"/>
    <w:rsid w:val="00893CFC"/>
    <w:rsid w:val="008C518A"/>
    <w:rsid w:val="00947883"/>
    <w:rsid w:val="0095046B"/>
    <w:rsid w:val="009F4A55"/>
    <w:rsid w:val="00AC3AC7"/>
    <w:rsid w:val="00AC6115"/>
    <w:rsid w:val="00B21823"/>
    <w:rsid w:val="00B23D81"/>
    <w:rsid w:val="00B9257B"/>
    <w:rsid w:val="00B95746"/>
    <w:rsid w:val="00BC487B"/>
    <w:rsid w:val="00CA212B"/>
    <w:rsid w:val="00CA6E56"/>
    <w:rsid w:val="00CD037F"/>
    <w:rsid w:val="00D50AC6"/>
    <w:rsid w:val="00D9288E"/>
    <w:rsid w:val="00DF1565"/>
    <w:rsid w:val="00E400AA"/>
    <w:rsid w:val="00EA689A"/>
    <w:rsid w:val="00ED24D8"/>
    <w:rsid w:val="00F026B6"/>
    <w:rsid w:val="00F735B6"/>
    <w:rsid w:val="00FA5C17"/>
    <w:rsid w:val="2B331880"/>
    <w:rsid w:val="2DD07F8D"/>
    <w:rsid w:val="3EF2724A"/>
    <w:rsid w:val="4DA51F5D"/>
    <w:rsid w:val="71DF33DB"/>
    <w:rsid w:val="71FE401B"/>
    <w:rsid w:val="73E54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autoRedefine/>
    <w:qFormat/>
    <w:uiPriority w:val="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12"/>
    <w:autoRedefine/>
    <w:qFormat/>
    <w:uiPriority w:val="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4">
    <w:name w:val="heading 3"/>
    <w:basedOn w:val="1"/>
    <w:next w:val="1"/>
    <w:link w:val="13"/>
    <w:autoRedefine/>
    <w:qFormat/>
    <w:uiPriority w:val="9"/>
    <w:pPr>
      <w:keepNext/>
      <w:keepLines/>
      <w:spacing w:before="40"/>
      <w:outlineLvl w:val="2"/>
    </w:pPr>
    <w:rPr>
      <w:rFonts w:asciiTheme="majorHAnsi" w:hAnsiTheme="majorHAnsi" w:eastAsiaTheme="majorEastAsia" w:cstheme="majorBidi"/>
      <w:color w:val="1F3863" w:themeColor="accent1" w:themeShade="7F"/>
      <w:sz w:val="24"/>
      <w:szCs w:val="24"/>
    </w:rPr>
  </w:style>
  <w:style w:type="paragraph" w:styleId="5">
    <w:name w:val="heading 4"/>
    <w:basedOn w:val="1"/>
    <w:next w:val="1"/>
    <w:link w:val="14"/>
    <w:autoRedefine/>
    <w:qFormat/>
    <w:uiPriority w:val="9"/>
    <w:pPr>
      <w:keepNext/>
      <w:keepLines/>
      <w:spacing w:before="40"/>
      <w:outlineLvl w:val="3"/>
    </w:pPr>
    <w:rPr>
      <w:rFonts w:asciiTheme="majorHAnsi" w:hAnsiTheme="majorHAnsi" w:eastAsiaTheme="majorEastAsia" w:cstheme="majorBidi"/>
      <w:i/>
      <w:iCs/>
      <w:color w:val="2F5496" w:themeColor="accent1" w:themeShade="BF"/>
    </w:rPr>
  </w:style>
  <w:style w:type="character" w:default="1" w:styleId="10">
    <w:name w:val="Default Paragraph Font"/>
    <w:autoRedefine/>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6"/>
    <w:semiHidden/>
    <w:unhideWhenUsed/>
    <w:uiPriority w:val="99"/>
    <w:rPr>
      <w:sz w:val="18"/>
      <w:szCs w:val="18"/>
    </w:rPr>
  </w:style>
  <w:style w:type="paragraph" w:styleId="7">
    <w:name w:val="footer"/>
    <w:basedOn w:val="1"/>
    <w:link w:val="18"/>
    <w:semiHidden/>
    <w:unhideWhenUsed/>
    <w:uiPriority w:val="99"/>
    <w:pPr>
      <w:tabs>
        <w:tab w:val="center" w:pos="4153"/>
        <w:tab w:val="right" w:pos="8306"/>
      </w:tabs>
      <w:snapToGrid w:val="0"/>
      <w:jc w:val="left"/>
    </w:pPr>
    <w:rPr>
      <w:sz w:val="18"/>
      <w:szCs w:val="18"/>
    </w:rPr>
  </w:style>
  <w:style w:type="paragraph" w:styleId="8">
    <w:name w:val="header"/>
    <w:basedOn w:val="1"/>
    <w:link w:val="1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1">
    <w:name w:val="标题 1 Char"/>
    <w:basedOn w:val="10"/>
    <w:link w:val="2"/>
    <w:uiPriority w:val="9"/>
    <w:rPr>
      <w:rFonts w:asciiTheme="majorHAnsi" w:hAnsiTheme="majorHAnsi" w:eastAsiaTheme="majorEastAsia" w:cstheme="majorBidi"/>
      <w:color w:val="2F5496" w:themeColor="accent1" w:themeShade="BF"/>
      <w:sz w:val="32"/>
      <w:szCs w:val="32"/>
    </w:rPr>
  </w:style>
  <w:style w:type="character" w:customStyle="1" w:styleId="12">
    <w:name w:val="标题 2 Char"/>
    <w:basedOn w:val="10"/>
    <w:link w:val="3"/>
    <w:uiPriority w:val="9"/>
    <w:rPr>
      <w:rFonts w:asciiTheme="majorHAnsi" w:hAnsiTheme="majorHAnsi" w:eastAsiaTheme="majorEastAsia" w:cstheme="majorBidi"/>
      <w:color w:val="2F5496" w:themeColor="accent1" w:themeShade="BF"/>
      <w:sz w:val="26"/>
      <w:szCs w:val="26"/>
    </w:rPr>
  </w:style>
  <w:style w:type="character" w:customStyle="1" w:styleId="13">
    <w:name w:val="标题 3 Char"/>
    <w:basedOn w:val="10"/>
    <w:link w:val="4"/>
    <w:uiPriority w:val="9"/>
    <w:rPr>
      <w:rFonts w:asciiTheme="majorHAnsi" w:hAnsiTheme="majorHAnsi" w:eastAsiaTheme="majorEastAsia" w:cstheme="majorBidi"/>
      <w:color w:val="1F3863" w:themeColor="accent1" w:themeShade="7F"/>
      <w:sz w:val="24"/>
      <w:szCs w:val="24"/>
    </w:rPr>
  </w:style>
  <w:style w:type="character" w:customStyle="1" w:styleId="14">
    <w:name w:val="标题 4 Char"/>
    <w:basedOn w:val="10"/>
    <w:link w:val="5"/>
    <w:uiPriority w:val="9"/>
    <w:rPr>
      <w:rFonts w:asciiTheme="majorHAnsi" w:hAnsiTheme="majorHAnsi" w:eastAsiaTheme="majorEastAsia" w:cstheme="majorBidi"/>
      <w:i/>
      <w:iCs/>
      <w:color w:val="2F5496" w:themeColor="accent1" w:themeShade="BF"/>
    </w:rPr>
  </w:style>
  <w:style w:type="paragraph" w:styleId="15">
    <w:name w:val="List Paragraph"/>
    <w:basedOn w:val="1"/>
    <w:qFormat/>
    <w:uiPriority w:val="34"/>
    <w:pPr>
      <w:widowControl/>
      <w:adjustRightInd w:val="0"/>
      <w:snapToGrid w:val="0"/>
      <w:spacing w:after="200"/>
      <w:ind w:firstLine="420" w:firstLineChars="200"/>
      <w:jc w:val="left"/>
    </w:pPr>
    <w:rPr>
      <w:rFonts w:ascii="Tahoma" w:hAnsi="Tahoma" w:eastAsia="微软雅黑"/>
      <w:kern w:val="0"/>
      <w:sz w:val="22"/>
    </w:rPr>
  </w:style>
  <w:style w:type="character" w:customStyle="1" w:styleId="16">
    <w:name w:val="批注框文本 Char"/>
    <w:basedOn w:val="10"/>
    <w:link w:val="6"/>
    <w:semiHidden/>
    <w:uiPriority w:val="99"/>
    <w:rPr>
      <w:sz w:val="18"/>
      <w:szCs w:val="18"/>
    </w:rPr>
  </w:style>
  <w:style w:type="character" w:customStyle="1" w:styleId="17">
    <w:name w:val="页眉 Char"/>
    <w:basedOn w:val="10"/>
    <w:link w:val="8"/>
    <w:semiHidden/>
    <w:uiPriority w:val="99"/>
    <w:rPr>
      <w:sz w:val="18"/>
      <w:szCs w:val="18"/>
    </w:rPr>
  </w:style>
  <w:style w:type="character" w:customStyle="1" w:styleId="18">
    <w:name w:val="页脚 Char"/>
    <w:basedOn w:val="10"/>
    <w:link w:val="7"/>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1192</Words>
  <Characters>6801</Characters>
  <Lines>56</Lines>
  <Paragraphs>15</Paragraphs>
  <TotalTime>27</TotalTime>
  <ScaleCrop>false</ScaleCrop>
  <LinksUpToDate>false</LinksUpToDate>
  <CharactersWithSpaces>7978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2024-01-16T02:56:00Z</dcterms:created>
  <dc:creator>jlw</dc:creator>
  <cp:lastModifiedBy>Administrator</cp:lastModifiedBy>
  <dcterms:modified xsi:type="dcterms:W3CDTF">2024-08-07T08:07:44Z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DE8E49514CD24068B2EDBC793C2E136E_13</vt:lpwstr>
  </property>
</Properties>
</file>